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0968" w14:textId="77777777" w:rsidR="00D11D63" w:rsidRDefault="00137FED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1644C" wp14:editId="5C71AAD9">
                <wp:simplePos x="0" y="0"/>
                <wp:positionH relativeFrom="page">
                  <wp:posOffset>221668</wp:posOffset>
                </wp:positionH>
                <wp:positionV relativeFrom="page">
                  <wp:posOffset>346365</wp:posOffset>
                </wp:positionV>
                <wp:extent cx="7176138" cy="10216518"/>
                <wp:effectExtent l="0" t="0" r="5712" b="0"/>
                <wp:wrapNone/>
                <wp:docPr id="1994577942" name="Tekstni okvi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138" cy="10216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90"/>
                              <w:gridCol w:w="5226"/>
                            </w:tblGrid>
                            <w:tr w:rsidR="00D11D63" w14:paraId="55CAA3E4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6090" w:type="dxa"/>
                                  <w:tcBorders>
                                    <w:right w:val="single" w:sz="12" w:space="0" w:color="ED7D31"/>
                                  </w:tcBorders>
                                  <w:tc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cMar>
                                  <w:vAlign w:val="center"/>
                                </w:tcPr>
                                <w:p w14:paraId="79C4BFB3" w14:textId="77777777" w:rsidR="00D11D63" w:rsidRDefault="00137FED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43A1AA" wp14:editId="5B9DCFB2">
                                        <wp:extent cx="3408179" cy="2032382"/>
                                        <wp:effectExtent l="0" t="0" r="1771" b="5968"/>
                                        <wp:docPr id="783582966" name="Slika 13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408179" cy="20323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BFB2899" w14:textId="77777777" w:rsidR="00D11D63" w:rsidRDefault="00137FED">
                                  <w:pPr>
                                    <w:pStyle w:val="Bezproreda"/>
                                    <w:spacing w:line="312" w:lineRule="auto"/>
                                    <w:jc w:val="right"/>
                                  </w:pPr>
                                  <w:r>
                                    <w:rPr>
                                      <w:color w:val="4472C4"/>
                                      <w:sz w:val="76"/>
                                      <w:szCs w:val="76"/>
                                    </w:rPr>
                                    <w:t>POSLOVNI PLAN</w:t>
                                  </w:r>
                                </w:p>
                                <w:p w14:paraId="3D511EB8" w14:textId="0CBD74A1" w:rsidR="00D11D63" w:rsidRDefault="00137FED">
                                  <w:pPr>
                                    <w:jc w:val="right"/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ZA 202</w:t>
                                  </w:r>
                                  <w:r w:rsidR="009D66A0">
                                    <w:rPr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>
                                    <w:rPr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 GODINU</w:t>
                                  </w:r>
                                </w:p>
                              </w:tc>
                              <w:tc>
                                <w:tcPr>
                                  <w:tcW w:w="5226" w:type="dxa"/>
                                  <w:tcBorders>
                                    <w:left w:val="single" w:sz="12" w:space="0" w:color="ED7D31"/>
                                  </w:tcBorders>
                                  <w:tc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cMar>
                                  <w:vAlign w:val="center"/>
                                </w:tcPr>
                                <w:p w14:paraId="6C1447F7" w14:textId="77777777" w:rsidR="00D11D63" w:rsidRDefault="00137FED">
                                  <w:pPr>
                                    <w:pStyle w:val="Bezproreda"/>
                                    <w:rPr>
                                      <w:b/>
                                      <w:bCs/>
                                      <w:caps/>
                                      <w:color w:val="2E74B5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aps/>
                                      <w:color w:val="2E74B5"/>
                                      <w:sz w:val="32"/>
                                      <w:szCs w:val="32"/>
                                    </w:rPr>
                                    <w:t>trogir holding d.o.o.</w:t>
                                  </w:r>
                                </w:p>
                                <w:p w14:paraId="6119C7BD" w14:textId="77777777" w:rsidR="00D11D63" w:rsidRDefault="00D11D63">
                                  <w:pPr>
                                    <w:pStyle w:val="Bezproreda"/>
                                    <w:rPr>
                                      <w:cap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51084FD" w14:textId="77777777" w:rsidR="00D11D63" w:rsidRDefault="00D11D63">
                                  <w:pPr>
                                    <w:pStyle w:val="Naslov9"/>
                                  </w:pPr>
                                </w:p>
                              </w:tc>
                            </w:tr>
                          </w:tbl>
                          <w:p w14:paraId="59FE54B1" w14:textId="77777777" w:rsidR="00D11D63" w:rsidRDefault="00D11D63"/>
                        </w:txbxContent>
                      </wps:txbx>
                      <wps:bodyPr vert="horz" wrap="square" lIns="0" tIns="0" rIns="0" bIns="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01644C" id="_x0000_t202" coordsize="21600,21600" o:spt="202" path="m,l,21600r21600,l21600,xe">
                <v:stroke joinstyle="miter"/>
                <v:path gradientshapeok="t" o:connecttype="rect"/>
              </v:shapetype>
              <v:shape id="Tekstni okvir 138" o:spid="_x0000_s1026" type="#_x0000_t202" style="position:absolute;left:0;text-align:left;margin-left:17.45pt;margin-top:27.25pt;width:565.05pt;height:804.4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" stroked="f">
                <v:textbox inset="0,0,0,0">
                  <w:txbxContent>
                    <w:tbl>
                      <w:tblPr>
                        <w:tblW w:w="5000" w:type="pct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90"/>
                        <w:gridCol w:w="5226"/>
                      </w:tblGrid>
                      <w:tr w:rsidR="00D11D63" w14:paraId="55CAA3E4" w14:textId="77777777">
                        <w:trPr>
                          <w:jc w:val="center"/>
                        </w:trPr>
                        <w:tc>
                          <w:tcPr>
                            <w:tcW w:w="6090" w:type="dxa"/>
                            <w:tcBorders>
                              <w:right w:val="single" w:sz="12" w:space="0" w:color="ED7D31"/>
                            </w:tcBorders>
                            <w:tc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cMar>
                            <w:vAlign w:val="center"/>
                          </w:tcPr>
                          <w:p w14:paraId="79C4BFB3" w14:textId="77777777" w:rsidR="00D11D63" w:rsidRDefault="00137FED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43A1AA" wp14:editId="5B9DCFB2">
                                  <wp:extent cx="3408179" cy="2032382"/>
                                  <wp:effectExtent l="0" t="0" r="1771" b="5968"/>
                                  <wp:docPr id="783582966" name="Slika 13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8179" cy="2032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FB2899" w14:textId="77777777" w:rsidR="00D11D63" w:rsidRDefault="00137FED">
                            <w:pPr>
                              <w:pStyle w:val="Bezproreda"/>
                              <w:spacing w:line="312" w:lineRule="auto"/>
                              <w:jc w:val="right"/>
                            </w:pPr>
                            <w:r>
                              <w:rPr>
                                <w:color w:val="4472C4"/>
                                <w:sz w:val="76"/>
                                <w:szCs w:val="76"/>
                              </w:rPr>
                              <w:t>POSLOVNI PLAN</w:t>
                            </w:r>
                          </w:p>
                          <w:p w14:paraId="3D511EB8" w14:textId="0CBD74A1" w:rsidR="00D11D63" w:rsidRDefault="00137FED">
                            <w:pPr>
                              <w:jc w:val="right"/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ZA 202</w:t>
                            </w:r>
                            <w:r w:rsidR="009D66A0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GODINU</w:t>
                            </w:r>
                          </w:p>
                        </w:tc>
                        <w:tc>
                          <w:tcPr>
                            <w:tcW w:w="5226" w:type="dxa"/>
                            <w:tcBorders>
                              <w:left w:val="single" w:sz="12" w:space="0" w:color="ED7D31"/>
                            </w:tcBorders>
                            <w:tc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cMar>
                            <w:vAlign w:val="center"/>
                          </w:tcPr>
                          <w:p w14:paraId="6C1447F7" w14:textId="77777777" w:rsidR="00D11D63" w:rsidRDefault="00137FED">
                            <w:pPr>
                              <w:pStyle w:val="Bezproreda"/>
                              <w:rPr>
                                <w:b/>
                                <w:bCs/>
                                <w:caps/>
                                <w:color w:val="2E74B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color w:val="2E74B5"/>
                                <w:sz w:val="32"/>
                                <w:szCs w:val="32"/>
                              </w:rPr>
                              <w:t>trogir holding d.o.o.</w:t>
                            </w:r>
                          </w:p>
                          <w:p w14:paraId="6119C7BD" w14:textId="77777777" w:rsidR="00D11D63" w:rsidRDefault="00D11D63">
                            <w:pPr>
                              <w:pStyle w:val="Bezproreda"/>
                              <w:rPr>
                                <w:caps/>
                                <w:sz w:val="32"/>
                                <w:szCs w:val="32"/>
                              </w:rPr>
                            </w:pPr>
                          </w:p>
                          <w:p w14:paraId="351084FD" w14:textId="77777777" w:rsidR="00D11D63" w:rsidRDefault="00D11D63">
                            <w:pPr>
                              <w:pStyle w:val="Naslov9"/>
                            </w:pPr>
                          </w:p>
                        </w:tc>
                      </w:tr>
                    </w:tbl>
                    <w:p w14:paraId="59FE54B1" w14:textId="77777777" w:rsidR="00D11D63" w:rsidRDefault="00D11D63"/>
                  </w:txbxContent>
                </v:textbox>
                <w10:wrap anchorx="page" anchory="page"/>
              </v:shape>
            </w:pict>
          </mc:Fallback>
        </mc:AlternateContent>
      </w:r>
    </w:p>
    <w:p w14:paraId="65E3B1C5" w14:textId="77777777" w:rsidR="00D11D63" w:rsidRDefault="00D11D63">
      <w:pPr>
        <w:pageBreakBefore/>
      </w:pPr>
    </w:p>
    <w:p w14:paraId="6B27CE58" w14:textId="77777777" w:rsidR="00D11D63" w:rsidRDefault="00137FED">
      <w:pPr>
        <w:rPr>
          <w:rFonts w:ascii="Calibri Light" w:hAnsi="Calibri Light" w:cs="Calibri Light"/>
          <w:color w:val="000000"/>
          <w:sz w:val="32"/>
          <w:szCs w:val="32"/>
        </w:rPr>
      </w:pPr>
      <w:r>
        <w:rPr>
          <w:rFonts w:ascii="Calibri Light" w:hAnsi="Calibri Light" w:cs="Calibri Light"/>
          <w:color w:val="000000"/>
          <w:sz w:val="32"/>
          <w:szCs w:val="32"/>
        </w:rPr>
        <w:t>SADRŽAJ:</w:t>
      </w:r>
    </w:p>
    <w:p w14:paraId="712408DE" w14:textId="77777777" w:rsidR="00D11D63" w:rsidRDefault="00D11D63">
      <w:pPr>
        <w:pStyle w:val="Sadraj3"/>
        <w:rPr>
          <w:color w:val="000000"/>
        </w:rPr>
      </w:pPr>
    </w:p>
    <w:p w14:paraId="0E751314" w14:textId="77777777" w:rsidR="00D11D63" w:rsidRDefault="00137FED">
      <w:pPr>
        <w:pStyle w:val="Sadraj3"/>
        <w:tabs>
          <w:tab w:val="right" w:leader="underscore" w:pos="1050"/>
        </w:tabs>
      </w:pPr>
      <w:r>
        <w:fldChar w:fldCharType="begin"/>
      </w:r>
      <w:r>
        <w:instrText xml:space="preserve"> TOC \o "1-4" \u </w:instrText>
      </w:r>
      <w:r>
        <w:fldChar w:fldCharType="separate"/>
      </w:r>
      <w:r>
        <w:rPr>
          <w:b/>
          <w:bCs/>
          <w:color w:val="000000"/>
        </w:rPr>
        <w:t>UVOD___________________________________________</w:t>
      </w:r>
      <w:r>
        <w:rPr>
          <w:color w:val="000000"/>
        </w:rPr>
        <w:tab/>
        <w:t>2</w:t>
      </w:r>
    </w:p>
    <w:p w14:paraId="3C69A56E" w14:textId="77777777" w:rsidR="00D11D63" w:rsidRDefault="00137FED">
      <w:pPr>
        <w:pStyle w:val="Sadraj3"/>
        <w:tabs>
          <w:tab w:val="right" w:leader="underscore" w:pos="1050"/>
        </w:tabs>
      </w:pPr>
      <w:r>
        <w:rPr>
          <w:b/>
          <w:bCs/>
          <w:color w:val="000000"/>
        </w:rPr>
        <w:t>1.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</w:rPr>
        <w:t>INFORMACIJE O TRGOVAČKOM DRUŠTVU</w:t>
      </w:r>
      <w:r>
        <w:rPr>
          <w:color w:val="000000"/>
        </w:rPr>
        <w:tab/>
        <w:t>3</w:t>
      </w:r>
    </w:p>
    <w:p w14:paraId="3BFC4B85" w14:textId="77777777" w:rsidR="00D11D63" w:rsidRDefault="00137FED">
      <w:pPr>
        <w:pStyle w:val="Sadraj3"/>
        <w:tabs>
          <w:tab w:val="right" w:leader="underscore" w:pos="1050"/>
        </w:tabs>
      </w:pPr>
      <w:r>
        <w:rPr>
          <w:color w:val="000000"/>
        </w:rPr>
        <w:t>1.1.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color w:val="000000"/>
        </w:rPr>
        <w:t>MATIČNO DRUŠTVO</w:t>
      </w:r>
      <w:r>
        <w:rPr>
          <w:color w:val="000000"/>
        </w:rPr>
        <w:tab/>
        <w:t>3</w:t>
      </w:r>
    </w:p>
    <w:p w14:paraId="58EA0FFF" w14:textId="77777777" w:rsidR="00D11D63" w:rsidRDefault="00137FED">
      <w:pPr>
        <w:pStyle w:val="Sadraj3"/>
        <w:tabs>
          <w:tab w:val="right" w:leader="underscore" w:pos="1050"/>
        </w:tabs>
      </w:pPr>
      <w:r>
        <w:rPr>
          <w:color w:val="000000"/>
        </w:rPr>
        <w:t>1.2.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color w:val="000000"/>
        </w:rPr>
        <w:t>KLJUČNE OSOBE</w:t>
      </w:r>
      <w:r>
        <w:rPr>
          <w:color w:val="000000"/>
        </w:rPr>
        <w:tab/>
        <w:t>3</w:t>
      </w:r>
    </w:p>
    <w:p w14:paraId="26748BF2" w14:textId="77777777" w:rsidR="00D11D63" w:rsidRDefault="00137FED">
      <w:pPr>
        <w:pStyle w:val="Sadraj3"/>
        <w:tabs>
          <w:tab w:val="right" w:leader="underscore" w:pos="1050"/>
        </w:tabs>
      </w:pPr>
      <w:r>
        <w:rPr>
          <w:color w:val="000000"/>
        </w:rPr>
        <w:t>1.3.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color w:val="000000"/>
        </w:rPr>
        <w:t>OSNOVNE INFORMACIJE</w:t>
      </w:r>
      <w:r>
        <w:rPr>
          <w:color w:val="000000"/>
        </w:rPr>
        <w:tab/>
        <w:t>4</w:t>
      </w:r>
    </w:p>
    <w:p w14:paraId="60298260" w14:textId="77777777" w:rsidR="00D11D63" w:rsidRDefault="00137FED">
      <w:pPr>
        <w:pStyle w:val="Sadraj3"/>
        <w:tabs>
          <w:tab w:val="right" w:leader="underscore" w:pos="1050"/>
        </w:tabs>
      </w:pPr>
      <w:r>
        <w:rPr>
          <w:b/>
          <w:bCs/>
          <w:color w:val="000000"/>
        </w:rPr>
        <w:t>2.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</w:rPr>
        <w:t>ORGANIZACIJSKI USTROJ TRGOVAČKOG DRUŠTVA TROGIR HOLDING D.O.O.</w:t>
      </w:r>
      <w:r>
        <w:rPr>
          <w:color w:val="000000"/>
        </w:rPr>
        <w:tab/>
        <w:t>4</w:t>
      </w:r>
    </w:p>
    <w:p w14:paraId="337B974F" w14:textId="77777777" w:rsidR="00D11D63" w:rsidRDefault="00137FED">
      <w:pPr>
        <w:pStyle w:val="Sadraj3"/>
        <w:tabs>
          <w:tab w:val="right" w:leader="underscore" w:pos="1050"/>
        </w:tabs>
      </w:pPr>
      <w:r>
        <w:rPr>
          <w:b/>
          <w:bCs/>
          <w:color w:val="000000"/>
        </w:rPr>
        <w:t>3.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</w:rPr>
        <w:t>TEMELJNE ODREDNICE UPRAVE</w:t>
      </w:r>
      <w:r>
        <w:rPr>
          <w:color w:val="000000"/>
        </w:rPr>
        <w:tab/>
        <w:t>5</w:t>
      </w:r>
    </w:p>
    <w:p w14:paraId="276883E6" w14:textId="153B2E4B" w:rsidR="00D11D63" w:rsidRDefault="00137FED">
      <w:pPr>
        <w:pStyle w:val="Sadraj3"/>
        <w:tabs>
          <w:tab w:val="right" w:leader="underscore" w:pos="1050"/>
        </w:tabs>
      </w:pPr>
      <w:r>
        <w:rPr>
          <w:b/>
          <w:bCs/>
          <w:color w:val="000000"/>
        </w:rPr>
        <w:t>4.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</w:rPr>
        <w:t>PLAN PRIHODA ZA 202</w:t>
      </w:r>
      <w:r w:rsidR="001F6D9C">
        <w:rPr>
          <w:b/>
          <w:bCs/>
          <w:color w:val="000000"/>
        </w:rPr>
        <w:t>6</w:t>
      </w:r>
      <w:r>
        <w:rPr>
          <w:b/>
          <w:bCs/>
          <w:color w:val="000000"/>
        </w:rPr>
        <w:t>. GODINU</w:t>
      </w:r>
      <w:r>
        <w:rPr>
          <w:color w:val="000000"/>
        </w:rPr>
        <w:tab/>
        <w:t>6</w:t>
      </w:r>
    </w:p>
    <w:p w14:paraId="6F98CBFE" w14:textId="77777777" w:rsidR="00D11D63" w:rsidRDefault="00137FED">
      <w:pPr>
        <w:pStyle w:val="Sadraj3"/>
        <w:tabs>
          <w:tab w:val="right" w:leader="underscore" w:pos="1050"/>
        </w:tabs>
      </w:pPr>
      <w:r>
        <w:rPr>
          <w:color w:val="000000"/>
        </w:rPr>
        <w:t>4.1.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color w:val="000000"/>
        </w:rPr>
        <w:t>STRUKTURA PRIHODA</w:t>
      </w:r>
      <w:r>
        <w:rPr>
          <w:color w:val="000000"/>
        </w:rPr>
        <w:tab/>
        <w:t>7</w:t>
      </w:r>
    </w:p>
    <w:p w14:paraId="53D6CD60" w14:textId="70A121E9" w:rsidR="00D11D63" w:rsidRDefault="00137FED">
      <w:pPr>
        <w:pStyle w:val="Sadraj3"/>
        <w:tabs>
          <w:tab w:val="right" w:leader="underscore" w:pos="1050"/>
        </w:tabs>
      </w:pPr>
      <w:r>
        <w:rPr>
          <w:color w:val="000000"/>
        </w:rPr>
        <w:t>4.1.1.</w:t>
      </w:r>
      <w:r>
        <w:rPr>
          <w:rFonts w:cs="Arial"/>
          <w:color w:val="000000"/>
          <w:sz w:val="22"/>
          <w:szCs w:val="22"/>
          <w:lang w:eastAsia="hr-HR"/>
        </w:rPr>
        <w:tab/>
      </w:r>
      <w:r w:rsidR="00CD3350">
        <w:rPr>
          <w:color w:val="000000"/>
        </w:rPr>
        <w:t>Prihodi od prodaje porizvoda i usluga</w:t>
      </w:r>
      <w:r>
        <w:rPr>
          <w:color w:val="000000"/>
        </w:rPr>
        <w:tab/>
        <w:t>7</w:t>
      </w:r>
    </w:p>
    <w:p w14:paraId="7291D0AF" w14:textId="77777777" w:rsidR="00D11D63" w:rsidRDefault="00137FED">
      <w:pPr>
        <w:pStyle w:val="Sadraj3"/>
        <w:tabs>
          <w:tab w:val="right" w:leader="underscore" w:pos="1050"/>
        </w:tabs>
        <w:rPr>
          <w:color w:val="000000"/>
        </w:rPr>
      </w:pPr>
      <w:r>
        <w:rPr>
          <w:color w:val="000000"/>
        </w:rPr>
        <w:t>4.1.2.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color w:val="000000"/>
        </w:rPr>
        <w:t>Izvanredni prihodi</w:t>
      </w:r>
      <w:r>
        <w:rPr>
          <w:color w:val="000000"/>
        </w:rPr>
        <w:tab/>
        <w:t>9</w:t>
      </w:r>
    </w:p>
    <w:p w14:paraId="620EC778" w14:textId="0174B64A" w:rsidR="00730FB1" w:rsidRPr="00730FB1" w:rsidRDefault="00730FB1" w:rsidP="00730FB1">
      <w:pPr>
        <w:spacing w:after="0"/>
      </w:pPr>
      <w:r>
        <w:t xml:space="preserve">         4.1.3. Prihodi Program Grad</w:t>
      </w:r>
      <w:r w:rsidR="001F6D9C">
        <w:t xml:space="preserve">a </w:t>
      </w:r>
      <w:r>
        <w:t>_____________________________________________________________9</w:t>
      </w:r>
    </w:p>
    <w:p w14:paraId="5EFFD098" w14:textId="06E0E739" w:rsidR="00D11D63" w:rsidRDefault="00137FED">
      <w:pPr>
        <w:pStyle w:val="Sadraj3"/>
        <w:tabs>
          <w:tab w:val="right" w:leader="underscore" w:pos="1050"/>
        </w:tabs>
      </w:pPr>
      <w:r>
        <w:rPr>
          <w:color w:val="000000"/>
        </w:rPr>
        <w:t>4.</w:t>
      </w:r>
      <w:r w:rsidR="00CD3350">
        <w:rPr>
          <w:color w:val="000000"/>
        </w:rPr>
        <w:t>1.4</w:t>
      </w:r>
      <w:r>
        <w:rPr>
          <w:color w:val="000000"/>
        </w:rPr>
        <w:t>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color w:val="000000"/>
        </w:rPr>
        <w:t>REKAPITULACIJA PLANA UKUPNIH PRIHODA</w:t>
      </w:r>
      <w:r>
        <w:rPr>
          <w:color w:val="000000"/>
        </w:rPr>
        <w:tab/>
        <w:t>10</w:t>
      </w:r>
    </w:p>
    <w:p w14:paraId="16F23D59" w14:textId="3193FA1A" w:rsidR="00D11D63" w:rsidRDefault="00137FED">
      <w:pPr>
        <w:pStyle w:val="Sadraj3"/>
        <w:tabs>
          <w:tab w:val="right" w:leader="underscore" w:pos="1050"/>
        </w:tabs>
      </w:pPr>
      <w:r>
        <w:rPr>
          <w:b/>
          <w:bCs/>
          <w:color w:val="000000"/>
        </w:rPr>
        <w:t>5.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</w:rPr>
        <w:t>PLAN RASHODA ZA 202</w:t>
      </w:r>
      <w:r w:rsidR="001F6D9C">
        <w:rPr>
          <w:b/>
          <w:bCs/>
          <w:color w:val="000000"/>
        </w:rPr>
        <w:t>6</w:t>
      </w:r>
      <w:r>
        <w:rPr>
          <w:b/>
          <w:bCs/>
          <w:color w:val="000000"/>
        </w:rPr>
        <w:t>. GODINU</w:t>
      </w:r>
      <w:r>
        <w:rPr>
          <w:color w:val="000000"/>
        </w:rPr>
        <w:tab/>
        <w:t>10</w:t>
      </w:r>
    </w:p>
    <w:p w14:paraId="662848E9" w14:textId="77777777" w:rsidR="00D11D63" w:rsidRDefault="00137FED">
      <w:pPr>
        <w:pStyle w:val="Sadraj3"/>
        <w:tabs>
          <w:tab w:val="right" w:leader="underscore" w:pos="1050"/>
        </w:tabs>
      </w:pPr>
      <w:r>
        <w:rPr>
          <w:color w:val="000000"/>
        </w:rPr>
        <w:t>5.1.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color w:val="000000"/>
        </w:rPr>
        <w:t>MATERIJALNI TROŠKOVI</w:t>
      </w:r>
      <w:r>
        <w:rPr>
          <w:color w:val="000000"/>
        </w:rPr>
        <w:tab/>
        <w:t>11</w:t>
      </w:r>
    </w:p>
    <w:p w14:paraId="3281FAB9" w14:textId="77777777" w:rsidR="00D11D63" w:rsidRDefault="00137FED">
      <w:pPr>
        <w:pStyle w:val="Sadraj3"/>
        <w:tabs>
          <w:tab w:val="right" w:leader="underscore" w:pos="1050"/>
        </w:tabs>
      </w:pPr>
      <w:r>
        <w:rPr>
          <w:color w:val="000000"/>
        </w:rPr>
        <w:t>5.2.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color w:val="000000"/>
        </w:rPr>
        <w:t>TROŠKOVI USLUGA I.</w:t>
      </w:r>
      <w:r>
        <w:rPr>
          <w:color w:val="000000"/>
        </w:rPr>
        <w:tab/>
        <w:t>12</w:t>
      </w:r>
    </w:p>
    <w:p w14:paraId="3F7C4A26" w14:textId="4A6FDA1A" w:rsidR="00D11D63" w:rsidRDefault="00137FED">
      <w:pPr>
        <w:pStyle w:val="Sadraj3"/>
        <w:tabs>
          <w:tab w:val="right" w:leader="underscore" w:pos="1050"/>
        </w:tabs>
      </w:pPr>
      <w:r>
        <w:rPr>
          <w:color w:val="000000"/>
        </w:rPr>
        <w:t>5.3.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color w:val="000000"/>
        </w:rPr>
        <w:t>TROŠKOVI USLUGA II.</w:t>
      </w:r>
      <w:r>
        <w:rPr>
          <w:color w:val="000000"/>
        </w:rPr>
        <w:tab/>
        <w:t>1</w:t>
      </w:r>
      <w:r w:rsidR="00CD3350">
        <w:rPr>
          <w:color w:val="000000"/>
        </w:rPr>
        <w:t>3</w:t>
      </w:r>
    </w:p>
    <w:p w14:paraId="1E355D76" w14:textId="1953C34C" w:rsidR="00D11D63" w:rsidRDefault="00137FED">
      <w:pPr>
        <w:pStyle w:val="Sadraj3"/>
        <w:tabs>
          <w:tab w:val="right" w:leader="underscore" w:pos="1050"/>
        </w:tabs>
      </w:pPr>
      <w:r>
        <w:rPr>
          <w:color w:val="000000"/>
        </w:rPr>
        <w:t>5.4.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color w:val="000000"/>
        </w:rPr>
        <w:t>AMORTIZACIJA</w:t>
      </w:r>
      <w:r>
        <w:rPr>
          <w:color w:val="000000"/>
        </w:rPr>
        <w:tab/>
        <w:t>1</w:t>
      </w:r>
      <w:r w:rsidR="00CD3350">
        <w:rPr>
          <w:color w:val="000000"/>
        </w:rPr>
        <w:t>4</w:t>
      </w:r>
    </w:p>
    <w:p w14:paraId="004F408D" w14:textId="3D90CCAE" w:rsidR="00D11D63" w:rsidRDefault="00137FED">
      <w:pPr>
        <w:pStyle w:val="Sadraj3"/>
        <w:tabs>
          <w:tab w:val="right" w:leader="underscore" w:pos="1050"/>
        </w:tabs>
      </w:pPr>
      <w:r>
        <w:rPr>
          <w:color w:val="000000"/>
        </w:rPr>
        <w:t>5.5.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color w:val="000000"/>
        </w:rPr>
        <w:t xml:space="preserve">TROŠKOVI </w:t>
      </w:r>
      <w:r w:rsidR="00CD3350">
        <w:rPr>
          <w:color w:val="000000"/>
        </w:rPr>
        <w:t>NAKANDA AZ RADNIKE</w:t>
      </w:r>
      <w:r>
        <w:rPr>
          <w:color w:val="000000"/>
        </w:rPr>
        <w:tab/>
        <w:t>1</w:t>
      </w:r>
      <w:r w:rsidR="00CD3350">
        <w:rPr>
          <w:color w:val="000000"/>
        </w:rPr>
        <w:t>5</w:t>
      </w:r>
    </w:p>
    <w:p w14:paraId="7B6C1C0A" w14:textId="67DA3814" w:rsidR="00D11D63" w:rsidRDefault="00137FED">
      <w:pPr>
        <w:pStyle w:val="Sadraj3"/>
        <w:tabs>
          <w:tab w:val="right" w:leader="underscore" w:pos="1050"/>
        </w:tabs>
      </w:pPr>
      <w:r>
        <w:rPr>
          <w:color w:val="000000"/>
        </w:rPr>
        <w:t>5.6.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color w:val="000000"/>
        </w:rPr>
        <w:t>TROŠKOVI PLAĆA</w:t>
      </w:r>
      <w:r>
        <w:rPr>
          <w:color w:val="000000"/>
        </w:rPr>
        <w:tab/>
        <w:t>1</w:t>
      </w:r>
      <w:r w:rsidR="00CD3350">
        <w:rPr>
          <w:color w:val="000000"/>
        </w:rPr>
        <w:t>5</w:t>
      </w:r>
    </w:p>
    <w:p w14:paraId="7D7C9C06" w14:textId="06C76411" w:rsidR="00D11D63" w:rsidRDefault="00137FED">
      <w:pPr>
        <w:pStyle w:val="Sadraj3"/>
        <w:tabs>
          <w:tab w:val="right" w:leader="underscore" w:pos="1050"/>
        </w:tabs>
      </w:pPr>
      <w:r>
        <w:rPr>
          <w:color w:val="000000"/>
        </w:rPr>
        <w:t>5.7.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color w:val="000000"/>
        </w:rPr>
        <w:t>REKAPITULACIJA TROŠKOVA</w:t>
      </w:r>
      <w:r>
        <w:rPr>
          <w:color w:val="000000"/>
        </w:rPr>
        <w:tab/>
        <w:t>1</w:t>
      </w:r>
      <w:r w:rsidR="00CD3350">
        <w:rPr>
          <w:color w:val="000000"/>
        </w:rPr>
        <w:t>6</w:t>
      </w:r>
    </w:p>
    <w:p w14:paraId="307A8C17" w14:textId="39A64CE7" w:rsidR="00D11D63" w:rsidRDefault="00137FED">
      <w:pPr>
        <w:pStyle w:val="Sadraj3"/>
        <w:tabs>
          <w:tab w:val="right" w:leader="underscore" w:pos="1050"/>
        </w:tabs>
      </w:pPr>
      <w:r>
        <w:rPr>
          <w:b/>
          <w:bCs/>
          <w:color w:val="000000"/>
        </w:rPr>
        <w:t>6.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</w:rPr>
        <w:t>RAČUN DOBITI I GUBITKA</w:t>
      </w:r>
      <w:r>
        <w:rPr>
          <w:color w:val="000000"/>
        </w:rPr>
        <w:tab/>
        <w:t>1</w:t>
      </w:r>
      <w:r w:rsidR="00CD3350">
        <w:rPr>
          <w:color w:val="000000"/>
        </w:rPr>
        <w:t>6</w:t>
      </w:r>
    </w:p>
    <w:p w14:paraId="685D1636" w14:textId="45C27F82" w:rsidR="00D11D63" w:rsidRDefault="00137FED">
      <w:pPr>
        <w:pStyle w:val="Sadraj3"/>
        <w:tabs>
          <w:tab w:val="right" w:leader="underscore" w:pos="1050"/>
        </w:tabs>
      </w:pPr>
      <w:r>
        <w:rPr>
          <w:b/>
          <w:bCs/>
          <w:color w:val="000000"/>
        </w:rPr>
        <w:t>7.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</w:rPr>
        <w:t>REKAPITULACIJA KAPITALNIH INVESTICIJA</w:t>
      </w:r>
      <w:r>
        <w:rPr>
          <w:color w:val="000000"/>
        </w:rPr>
        <w:tab/>
        <w:t>1</w:t>
      </w:r>
      <w:r w:rsidR="00CD3350">
        <w:rPr>
          <w:color w:val="000000"/>
        </w:rPr>
        <w:t>7</w:t>
      </w:r>
    </w:p>
    <w:p w14:paraId="5629F6E0" w14:textId="6FD4354A" w:rsidR="00D11D63" w:rsidRDefault="00137FED">
      <w:pPr>
        <w:pStyle w:val="Sadraj3"/>
        <w:tabs>
          <w:tab w:val="right" w:leader="underscore" w:pos="1050"/>
        </w:tabs>
      </w:pP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</w:rPr>
        <w:t>AKCIJSKI CILJEVI I FINANCIRANJE DRUŠTVA TROGIR HOLDING d.o.o.</w:t>
      </w:r>
      <w:r>
        <w:rPr>
          <w:color w:val="000000"/>
        </w:rPr>
        <w:tab/>
        <w:t>1</w:t>
      </w:r>
      <w:r w:rsidR="00CD3350">
        <w:rPr>
          <w:color w:val="000000"/>
        </w:rPr>
        <w:t>8</w:t>
      </w:r>
    </w:p>
    <w:p w14:paraId="22F0C060" w14:textId="05F12419" w:rsidR="00D11D63" w:rsidRDefault="00137FED">
      <w:pPr>
        <w:pStyle w:val="Sadraj3"/>
        <w:tabs>
          <w:tab w:val="right" w:leader="underscore" w:pos="1050"/>
        </w:tabs>
      </w:pPr>
      <w:r>
        <w:rPr>
          <w:b/>
          <w:bCs/>
          <w:color w:val="000000"/>
        </w:rPr>
        <w:t>9.</w:t>
      </w:r>
      <w:r>
        <w:rPr>
          <w:rFonts w:cs="Arial"/>
          <w:color w:val="000000"/>
          <w:sz w:val="22"/>
          <w:szCs w:val="22"/>
          <w:lang w:eastAsia="hr-HR"/>
        </w:rPr>
        <w:tab/>
      </w:r>
      <w:r>
        <w:rPr>
          <w:b/>
          <w:bCs/>
          <w:color w:val="000000"/>
        </w:rPr>
        <w:t>ZAKLJUČAK</w:t>
      </w:r>
      <w:r>
        <w:rPr>
          <w:color w:val="000000"/>
        </w:rPr>
        <w:tab/>
        <w:t>2</w:t>
      </w:r>
      <w:r w:rsidR="00CD3350">
        <w:rPr>
          <w:color w:val="000000"/>
        </w:rPr>
        <w:t>9</w:t>
      </w:r>
    </w:p>
    <w:p w14:paraId="680454F5" w14:textId="313C1216" w:rsidR="00D11D63" w:rsidRPr="00EB3D21" w:rsidRDefault="00137FED" w:rsidP="00EB3D21">
      <w:pPr>
        <w:pageBreakBefore/>
        <w:rPr>
          <w:b/>
          <w:bCs/>
          <w:sz w:val="24"/>
          <w:szCs w:val="24"/>
        </w:rPr>
      </w:pPr>
      <w:r>
        <w:rPr>
          <w:rFonts w:cs="Calibri"/>
        </w:rPr>
        <w:lastRenderedPageBreak/>
        <w:fldChar w:fldCharType="end"/>
      </w:r>
      <w:bookmarkStart w:id="0" w:name="_Toc90294239"/>
      <w:r w:rsidRPr="00EB3D21">
        <w:rPr>
          <w:b/>
          <w:bCs/>
          <w:sz w:val="24"/>
          <w:szCs w:val="24"/>
        </w:rPr>
        <w:t>UVOD</w:t>
      </w:r>
      <w:bookmarkEnd w:id="0"/>
    </w:p>
    <w:p w14:paraId="641A700F" w14:textId="51C01DEB" w:rsidR="00D11D63" w:rsidRPr="00CF11A7" w:rsidRDefault="00137FED">
      <w:pPr>
        <w:spacing w:after="160"/>
        <w:contextualSpacing/>
        <w:rPr>
          <w:sz w:val="24"/>
          <w:szCs w:val="24"/>
        </w:rPr>
      </w:pPr>
      <w:r w:rsidRPr="00CF11A7">
        <w:rPr>
          <w:sz w:val="24"/>
          <w:szCs w:val="24"/>
        </w:rPr>
        <w:t>Poslovni plan Društva Trogir holding d.o.o. (u daljnjem tekstu: Društva) za 202</w:t>
      </w:r>
      <w:r w:rsidR="009D66A0" w:rsidRPr="00CF11A7">
        <w:rPr>
          <w:sz w:val="24"/>
          <w:szCs w:val="24"/>
        </w:rPr>
        <w:t>6</w:t>
      </w:r>
      <w:r w:rsidRPr="00CF11A7">
        <w:rPr>
          <w:sz w:val="24"/>
          <w:szCs w:val="24"/>
        </w:rPr>
        <w:t>. godinu temelji se na dosadašnjim donesenim strateškim planovima i provedenim mjerama, realiziranih kroz operativne aktivnosti prethodnih poslovnih ciklusa, koje su već niz puta prezentirane kroz Planove prethodnih razdoblja, a dodatno elaborirane u Izvješćima o radu Uprave.</w:t>
      </w:r>
    </w:p>
    <w:p w14:paraId="6549C9F6" w14:textId="2E0701C3" w:rsidR="00D11D63" w:rsidRPr="00CF11A7" w:rsidRDefault="00137FED">
      <w:pPr>
        <w:spacing w:after="160"/>
        <w:contextualSpacing/>
        <w:rPr>
          <w:sz w:val="24"/>
          <w:szCs w:val="24"/>
        </w:rPr>
      </w:pPr>
      <w:r w:rsidRPr="00CF11A7">
        <w:rPr>
          <w:sz w:val="24"/>
          <w:szCs w:val="24"/>
        </w:rPr>
        <w:t xml:space="preserve">Poslovni plan Društva uključuje i novonastale situacije na tržištu rada, tržištu radova, roba i usluga, kao i inflatorne učinke i porast cijena na tržištu i promjene zakonskih </w:t>
      </w:r>
      <w:r w:rsidR="00951980" w:rsidRPr="00CF11A7">
        <w:rPr>
          <w:sz w:val="24"/>
          <w:szCs w:val="24"/>
        </w:rPr>
        <w:t>i podzak</w:t>
      </w:r>
      <w:r w:rsidR="00072E28" w:rsidRPr="00CF11A7">
        <w:rPr>
          <w:sz w:val="24"/>
          <w:szCs w:val="24"/>
        </w:rPr>
        <w:t>o</w:t>
      </w:r>
      <w:r w:rsidR="00951980" w:rsidRPr="00CF11A7">
        <w:rPr>
          <w:sz w:val="24"/>
          <w:szCs w:val="24"/>
        </w:rPr>
        <w:t xml:space="preserve">nskih </w:t>
      </w:r>
      <w:r w:rsidRPr="00CF11A7">
        <w:rPr>
          <w:sz w:val="24"/>
          <w:szCs w:val="24"/>
        </w:rPr>
        <w:t>odredbi.</w:t>
      </w:r>
    </w:p>
    <w:p w14:paraId="5AD5CC64" w14:textId="77777777" w:rsidR="00D11D63" w:rsidRPr="00CF11A7" w:rsidRDefault="00D11D63">
      <w:pPr>
        <w:spacing w:after="160"/>
        <w:contextualSpacing/>
        <w:rPr>
          <w:sz w:val="24"/>
          <w:szCs w:val="24"/>
        </w:rPr>
      </w:pPr>
    </w:p>
    <w:p w14:paraId="570EF2FE" w14:textId="77777777" w:rsidR="00D11D63" w:rsidRPr="00CF11A7" w:rsidRDefault="00137FED">
      <w:pPr>
        <w:spacing w:after="160"/>
        <w:contextualSpacing/>
        <w:rPr>
          <w:sz w:val="24"/>
          <w:szCs w:val="24"/>
        </w:rPr>
      </w:pPr>
      <w:r w:rsidRPr="00CF11A7">
        <w:rPr>
          <w:sz w:val="24"/>
          <w:szCs w:val="24"/>
        </w:rPr>
        <w:t>Strateške smjernice Društva čine uglavljenu okosnicu pri samoj izradi Plana poslovanja.</w:t>
      </w:r>
    </w:p>
    <w:p w14:paraId="738CCBDE" w14:textId="77777777" w:rsidR="00D11D63" w:rsidRPr="001F6D9C" w:rsidRDefault="00D11D63">
      <w:pPr>
        <w:spacing w:after="160"/>
        <w:contextualSpacing/>
        <w:rPr>
          <w:color w:val="FF0000"/>
          <w:sz w:val="24"/>
          <w:szCs w:val="24"/>
          <w:highlight w:val="cyan"/>
        </w:rPr>
      </w:pPr>
    </w:p>
    <w:p w14:paraId="05FBBAC9" w14:textId="77777777" w:rsidR="007009A8" w:rsidRPr="007009A8" w:rsidRDefault="00137FED">
      <w:pPr>
        <w:spacing w:after="160"/>
        <w:contextualSpacing/>
        <w:rPr>
          <w:sz w:val="24"/>
          <w:szCs w:val="24"/>
        </w:rPr>
      </w:pPr>
      <w:r w:rsidRPr="007009A8">
        <w:rPr>
          <w:sz w:val="24"/>
          <w:szCs w:val="24"/>
        </w:rPr>
        <w:t>U narednoj 202</w:t>
      </w:r>
      <w:r w:rsidR="009D66A0" w:rsidRPr="007009A8">
        <w:rPr>
          <w:sz w:val="24"/>
          <w:szCs w:val="24"/>
        </w:rPr>
        <w:t>6</w:t>
      </w:r>
      <w:r w:rsidRPr="007009A8">
        <w:rPr>
          <w:sz w:val="24"/>
          <w:szCs w:val="24"/>
        </w:rPr>
        <w:t>. godini</w:t>
      </w:r>
      <w:r w:rsidR="001F5379" w:rsidRPr="007009A8">
        <w:rPr>
          <w:sz w:val="24"/>
          <w:szCs w:val="24"/>
        </w:rPr>
        <w:t xml:space="preserve"> Društvo namjerava učiniti iskorak u svim segme</w:t>
      </w:r>
      <w:r w:rsidR="001F1314" w:rsidRPr="007009A8">
        <w:rPr>
          <w:sz w:val="24"/>
          <w:szCs w:val="24"/>
        </w:rPr>
        <w:t>n</w:t>
      </w:r>
      <w:r w:rsidR="001F5379" w:rsidRPr="007009A8">
        <w:rPr>
          <w:sz w:val="24"/>
          <w:szCs w:val="24"/>
        </w:rPr>
        <w:t>tima djelovanja</w:t>
      </w:r>
      <w:r w:rsidR="001F1314" w:rsidRPr="007009A8">
        <w:rPr>
          <w:sz w:val="24"/>
          <w:szCs w:val="24"/>
        </w:rPr>
        <w:t xml:space="preserve"> radi čega je  izrađen i novi Pravilnik o unutarnjem ustrojstvu, organizac</w:t>
      </w:r>
      <w:r w:rsidR="008A50BB" w:rsidRPr="007009A8">
        <w:rPr>
          <w:sz w:val="24"/>
          <w:szCs w:val="24"/>
        </w:rPr>
        <w:t>iji i sistematizaciji radnih mjesta uslijed kojeg je došlo do spajanja pojedinih odjela</w:t>
      </w:r>
      <w:r w:rsidR="007009A8" w:rsidRPr="007009A8">
        <w:rPr>
          <w:sz w:val="24"/>
          <w:szCs w:val="24"/>
        </w:rPr>
        <w:t xml:space="preserve"> i radnih mjesta, te smanjenje voditeljskih radnih mjesta.</w:t>
      </w:r>
    </w:p>
    <w:p w14:paraId="017B3FE9" w14:textId="77777777" w:rsidR="007009A8" w:rsidRDefault="007009A8">
      <w:pPr>
        <w:spacing w:after="160"/>
        <w:contextualSpacing/>
        <w:rPr>
          <w:sz w:val="24"/>
          <w:szCs w:val="24"/>
          <w:highlight w:val="cyan"/>
        </w:rPr>
      </w:pPr>
    </w:p>
    <w:p w14:paraId="7B75FC6E" w14:textId="2F35367A" w:rsidR="00D11D63" w:rsidRDefault="007009A8">
      <w:pPr>
        <w:spacing w:after="160"/>
        <w:contextualSpacing/>
        <w:rPr>
          <w:sz w:val="24"/>
          <w:szCs w:val="24"/>
        </w:rPr>
      </w:pPr>
      <w:r w:rsidRPr="0050365A">
        <w:rPr>
          <w:sz w:val="24"/>
          <w:szCs w:val="24"/>
        </w:rPr>
        <w:t>U</w:t>
      </w:r>
      <w:r w:rsidR="00137FED" w:rsidRPr="0050365A">
        <w:rPr>
          <w:sz w:val="24"/>
          <w:szCs w:val="24"/>
        </w:rPr>
        <w:t xml:space="preserve"> fokusu djelovanja i nadalje ostaje Sektor komunalnih poslova odnosno Odjel </w:t>
      </w:r>
      <w:r w:rsidRPr="0050365A">
        <w:rPr>
          <w:sz w:val="24"/>
          <w:szCs w:val="24"/>
        </w:rPr>
        <w:t>prikupljanja</w:t>
      </w:r>
      <w:r w:rsidR="0050365A" w:rsidRPr="0050365A">
        <w:rPr>
          <w:sz w:val="24"/>
          <w:szCs w:val="24"/>
        </w:rPr>
        <w:t xml:space="preserve"> o</w:t>
      </w:r>
      <w:r w:rsidR="00137FED" w:rsidRPr="0050365A">
        <w:rPr>
          <w:sz w:val="24"/>
          <w:szCs w:val="24"/>
        </w:rPr>
        <w:t xml:space="preserve">tpadom unutar kojeg je planirana nadogradnja na postojeći implementirani sustav za evidentiranje, prikupljanje i zbrinjavanje otpada sukladno potrebama osnivača, društva i krajnjih korisnika, te propisanim zakonskim </w:t>
      </w:r>
      <w:r w:rsidR="00072E28" w:rsidRPr="0050365A">
        <w:rPr>
          <w:sz w:val="24"/>
          <w:szCs w:val="24"/>
        </w:rPr>
        <w:t xml:space="preserve">i podzakonskim </w:t>
      </w:r>
      <w:r w:rsidR="00137FED" w:rsidRPr="0050365A">
        <w:rPr>
          <w:sz w:val="24"/>
          <w:szCs w:val="24"/>
        </w:rPr>
        <w:t>obvezama, kao i potrebna poboljšanja sustava</w:t>
      </w:r>
      <w:r w:rsidR="00137FED" w:rsidRPr="004E4246">
        <w:rPr>
          <w:sz w:val="24"/>
          <w:szCs w:val="24"/>
        </w:rPr>
        <w:t xml:space="preserve">.  </w:t>
      </w:r>
      <w:r w:rsidR="0050365A" w:rsidRPr="004E4246">
        <w:rPr>
          <w:sz w:val="24"/>
          <w:szCs w:val="24"/>
        </w:rPr>
        <w:t>U tu svrhu namjera je smanjiti broj lokacija s postavljenim zajedničkim spremnicima odnosno polupodzemnim spremnici</w:t>
      </w:r>
      <w:r w:rsidR="004E4246" w:rsidRPr="004E4246">
        <w:rPr>
          <w:sz w:val="24"/>
          <w:szCs w:val="24"/>
        </w:rPr>
        <w:t>ma uključujući zamjenu otpadomjera novim sustavom sa smartbegovima, kao i podjelu individualnih spremnika na svim lokacijama gdje je to moguće.</w:t>
      </w:r>
    </w:p>
    <w:p w14:paraId="37394065" w14:textId="77777777" w:rsidR="004E4246" w:rsidRPr="004E4246" w:rsidRDefault="004E4246">
      <w:pPr>
        <w:spacing w:after="160"/>
        <w:contextualSpacing/>
        <w:rPr>
          <w:sz w:val="24"/>
          <w:szCs w:val="24"/>
        </w:rPr>
      </w:pPr>
    </w:p>
    <w:p w14:paraId="786200AB" w14:textId="0266F4D9" w:rsidR="00D11D63" w:rsidRPr="003C1D94" w:rsidRDefault="00137FED">
      <w:pPr>
        <w:spacing w:after="160"/>
        <w:contextualSpacing/>
        <w:rPr>
          <w:sz w:val="24"/>
          <w:szCs w:val="24"/>
        </w:rPr>
      </w:pPr>
      <w:r w:rsidRPr="003C1D94">
        <w:rPr>
          <w:sz w:val="24"/>
          <w:szCs w:val="24"/>
        </w:rPr>
        <w:t>Posebno će se posvetiti pažnja Sektoru održavanja javnih</w:t>
      </w:r>
      <w:r w:rsidR="004E4246" w:rsidRPr="003C1D94">
        <w:rPr>
          <w:sz w:val="24"/>
          <w:szCs w:val="24"/>
        </w:rPr>
        <w:t xml:space="preserve"> i ze</w:t>
      </w:r>
      <w:r w:rsidR="003C1D94" w:rsidRPr="003C1D94">
        <w:rPr>
          <w:sz w:val="24"/>
          <w:szCs w:val="24"/>
        </w:rPr>
        <w:t>lenih</w:t>
      </w:r>
      <w:r w:rsidRPr="003C1D94">
        <w:rPr>
          <w:sz w:val="24"/>
          <w:szCs w:val="24"/>
        </w:rPr>
        <w:t xml:space="preserve"> površina, u vidu strateško plana ozelenjivanja Grada Trogira</w:t>
      </w:r>
      <w:r w:rsidR="003C1D94" w:rsidRPr="003C1D94">
        <w:rPr>
          <w:sz w:val="24"/>
          <w:szCs w:val="24"/>
        </w:rPr>
        <w:t xml:space="preserve"> zbog čega je u novoj reorganizaciji određen i veći broj radnika u ovom Sektoru.</w:t>
      </w:r>
    </w:p>
    <w:p w14:paraId="62C091EF" w14:textId="34FE65AA" w:rsidR="00D11D63" w:rsidRPr="003C1D94" w:rsidRDefault="00137FED">
      <w:pPr>
        <w:spacing w:after="160"/>
        <w:contextualSpacing/>
        <w:rPr>
          <w:sz w:val="24"/>
          <w:szCs w:val="24"/>
        </w:rPr>
      </w:pPr>
      <w:r w:rsidRPr="003C1D94">
        <w:rPr>
          <w:sz w:val="24"/>
          <w:szCs w:val="24"/>
        </w:rPr>
        <w:t>Također, nastaviti će se na proširenju i uređenju javnih parkirališta na području Grada Trogira</w:t>
      </w:r>
      <w:r w:rsidR="003C1D94">
        <w:rPr>
          <w:sz w:val="24"/>
          <w:szCs w:val="24"/>
        </w:rPr>
        <w:t>, te optimizacija sustava</w:t>
      </w:r>
      <w:r w:rsidRPr="003C1D94">
        <w:rPr>
          <w:sz w:val="24"/>
          <w:szCs w:val="24"/>
        </w:rPr>
        <w:t>.</w:t>
      </w:r>
    </w:p>
    <w:p w14:paraId="10AB7ABC" w14:textId="77777777" w:rsidR="00D11D63" w:rsidRPr="001F6D9C" w:rsidRDefault="00D11D63">
      <w:pPr>
        <w:spacing w:after="160"/>
        <w:contextualSpacing/>
        <w:rPr>
          <w:color w:val="FF0000"/>
          <w:sz w:val="24"/>
          <w:szCs w:val="24"/>
          <w:highlight w:val="cyan"/>
        </w:rPr>
      </w:pPr>
    </w:p>
    <w:p w14:paraId="1D9029E8" w14:textId="7C1B5FF0" w:rsidR="00D11D63" w:rsidRPr="003C1D94" w:rsidRDefault="00137FED">
      <w:pPr>
        <w:spacing w:after="160"/>
        <w:contextualSpacing/>
        <w:rPr>
          <w:sz w:val="24"/>
          <w:szCs w:val="24"/>
        </w:rPr>
      </w:pPr>
      <w:r w:rsidRPr="003C1D94">
        <w:rPr>
          <w:sz w:val="24"/>
          <w:szCs w:val="24"/>
        </w:rPr>
        <w:t xml:space="preserve">Nastavak razvoja organizacijske strukture planiran je putem </w:t>
      </w:r>
      <w:r w:rsidR="00617678" w:rsidRPr="003C1D94">
        <w:rPr>
          <w:sz w:val="24"/>
          <w:szCs w:val="24"/>
        </w:rPr>
        <w:t>donesenog</w:t>
      </w:r>
      <w:r w:rsidR="009D66A0" w:rsidRPr="003C1D94">
        <w:rPr>
          <w:sz w:val="24"/>
          <w:szCs w:val="24"/>
        </w:rPr>
        <w:t xml:space="preserve"> Pravilnika o unutarnjem </w:t>
      </w:r>
      <w:r w:rsidR="00617678" w:rsidRPr="003C1D94">
        <w:rPr>
          <w:sz w:val="24"/>
          <w:szCs w:val="24"/>
        </w:rPr>
        <w:t>ustrojstvu</w:t>
      </w:r>
      <w:r w:rsidR="009D66A0" w:rsidRPr="003C1D94">
        <w:rPr>
          <w:sz w:val="24"/>
          <w:szCs w:val="24"/>
        </w:rPr>
        <w:t>, načinu rada i</w:t>
      </w:r>
      <w:r w:rsidRPr="003C1D94">
        <w:rPr>
          <w:sz w:val="24"/>
          <w:szCs w:val="24"/>
        </w:rPr>
        <w:t xml:space="preserve"> sistematizacij</w:t>
      </w:r>
      <w:r w:rsidR="009D66A0" w:rsidRPr="003C1D94">
        <w:rPr>
          <w:sz w:val="24"/>
          <w:szCs w:val="24"/>
        </w:rPr>
        <w:t>i</w:t>
      </w:r>
      <w:r w:rsidRPr="003C1D94">
        <w:rPr>
          <w:sz w:val="24"/>
          <w:szCs w:val="24"/>
        </w:rPr>
        <w:t xml:space="preserve"> radnih mjesta</w:t>
      </w:r>
      <w:r w:rsidR="009D66A0" w:rsidRPr="003C1D94">
        <w:rPr>
          <w:sz w:val="24"/>
          <w:szCs w:val="24"/>
        </w:rPr>
        <w:t xml:space="preserve"> </w:t>
      </w:r>
      <w:r w:rsidR="002468FE" w:rsidRPr="003C1D94">
        <w:rPr>
          <w:sz w:val="24"/>
          <w:szCs w:val="24"/>
        </w:rPr>
        <w:t>i</w:t>
      </w:r>
      <w:r w:rsidR="009D66A0" w:rsidRPr="003C1D94">
        <w:rPr>
          <w:sz w:val="24"/>
          <w:szCs w:val="24"/>
        </w:rPr>
        <w:t xml:space="preserve"> potpisanim</w:t>
      </w:r>
      <w:r w:rsidR="003C1D94" w:rsidRPr="003C1D94">
        <w:rPr>
          <w:sz w:val="24"/>
          <w:szCs w:val="24"/>
        </w:rPr>
        <w:t xml:space="preserve"> novim</w:t>
      </w:r>
      <w:r w:rsidR="009D66A0" w:rsidRPr="003C1D94">
        <w:rPr>
          <w:sz w:val="24"/>
          <w:szCs w:val="24"/>
        </w:rPr>
        <w:t xml:space="preserve"> Kolektivnim ugovorom</w:t>
      </w:r>
      <w:r w:rsidR="002468FE" w:rsidRPr="003C1D94">
        <w:rPr>
          <w:sz w:val="24"/>
          <w:szCs w:val="24"/>
        </w:rPr>
        <w:t xml:space="preserve">, </w:t>
      </w:r>
      <w:r w:rsidR="00617678" w:rsidRPr="003C1D94">
        <w:rPr>
          <w:sz w:val="24"/>
          <w:szCs w:val="24"/>
        </w:rPr>
        <w:t>koji</w:t>
      </w:r>
      <w:r w:rsidR="002468FE" w:rsidRPr="003C1D94">
        <w:rPr>
          <w:sz w:val="24"/>
          <w:szCs w:val="24"/>
        </w:rPr>
        <w:t xml:space="preserve"> je u primjeni od 01.01.2026.</w:t>
      </w:r>
      <w:r w:rsidRPr="003C1D94">
        <w:rPr>
          <w:sz w:val="24"/>
          <w:szCs w:val="24"/>
        </w:rPr>
        <w:t xml:space="preserve">, te usmjeravanjem na veću efikasnost u radu </w:t>
      </w:r>
      <w:r w:rsidR="00A657C3" w:rsidRPr="003C1D94">
        <w:rPr>
          <w:sz w:val="24"/>
          <w:szCs w:val="24"/>
        </w:rPr>
        <w:t>kojom će s</w:t>
      </w:r>
      <w:r w:rsidR="00474FCF" w:rsidRPr="003C1D94">
        <w:rPr>
          <w:sz w:val="24"/>
          <w:szCs w:val="24"/>
        </w:rPr>
        <w:t xml:space="preserve">e </w:t>
      </w:r>
      <w:r w:rsidRPr="003C1D94">
        <w:rPr>
          <w:sz w:val="24"/>
          <w:szCs w:val="24"/>
        </w:rPr>
        <w:t>doprinijet</w:t>
      </w:r>
      <w:r w:rsidR="00474FCF" w:rsidRPr="003C1D94">
        <w:rPr>
          <w:sz w:val="24"/>
          <w:szCs w:val="24"/>
        </w:rPr>
        <w:t>i</w:t>
      </w:r>
      <w:r w:rsidRPr="003C1D94">
        <w:rPr>
          <w:sz w:val="24"/>
          <w:szCs w:val="24"/>
        </w:rPr>
        <w:t xml:space="preserve"> učinkovitosti poslovanja u cjelini.</w:t>
      </w:r>
    </w:p>
    <w:p w14:paraId="3EA4782E" w14:textId="2DD075FC" w:rsidR="00D11D63" w:rsidRDefault="00137FED">
      <w:pPr>
        <w:spacing w:after="160"/>
        <w:contextualSpacing/>
        <w:rPr>
          <w:sz w:val="24"/>
          <w:szCs w:val="24"/>
        </w:rPr>
      </w:pPr>
      <w:r w:rsidRPr="003C1D94">
        <w:rPr>
          <w:sz w:val="24"/>
          <w:szCs w:val="24"/>
        </w:rPr>
        <w:lastRenderedPageBreak/>
        <w:t>Jasno definirane ciljeve moguće je postići isključivo tehnološkim rješenjima kroz daljnje investicijske cikluse uz potporu kvalitetnih upravljačkih procesa temeljeni</w:t>
      </w:r>
      <w:r w:rsidR="00474FCF" w:rsidRPr="003C1D94">
        <w:rPr>
          <w:sz w:val="24"/>
          <w:szCs w:val="24"/>
        </w:rPr>
        <w:t>m</w:t>
      </w:r>
      <w:r w:rsidRPr="003C1D94">
        <w:rPr>
          <w:sz w:val="24"/>
          <w:szCs w:val="24"/>
        </w:rPr>
        <w:t xml:space="preserve"> na sposobnom i maksimalno angažiranom rukovodećem kadru.</w:t>
      </w:r>
    </w:p>
    <w:p w14:paraId="48D3F8A1" w14:textId="77777777" w:rsidR="003C1D94" w:rsidRPr="003C1D94" w:rsidRDefault="003C1D94">
      <w:pPr>
        <w:spacing w:after="160"/>
        <w:contextualSpacing/>
        <w:rPr>
          <w:sz w:val="24"/>
          <w:szCs w:val="24"/>
        </w:rPr>
      </w:pPr>
    </w:p>
    <w:p w14:paraId="46A360D1" w14:textId="77777777" w:rsidR="00D11D63" w:rsidRPr="00DC3AC5" w:rsidRDefault="00137FED">
      <w:pPr>
        <w:spacing w:after="160"/>
        <w:contextualSpacing/>
        <w:rPr>
          <w:sz w:val="24"/>
          <w:szCs w:val="24"/>
        </w:rPr>
      </w:pPr>
      <w:r w:rsidRPr="00DC3AC5">
        <w:rPr>
          <w:sz w:val="24"/>
          <w:szCs w:val="24"/>
        </w:rPr>
        <w:t>Analiza poslovanja proteklih godina dijagnosticirala je kritična mjesta organizacijske strukture i poslovnih procesa, koja zahtijevaju drugačiji pristup, kontinuirano promišljanje, te preslagivanje organizacije sukladno jasnim prioritetima i objektivnim potrebama trgovačkog društva Trogir Holding d.o.o.</w:t>
      </w:r>
    </w:p>
    <w:p w14:paraId="04C5FF2E" w14:textId="77777777" w:rsidR="00D11D63" w:rsidRPr="00DC3AC5" w:rsidRDefault="00137FED">
      <w:pPr>
        <w:spacing w:after="160"/>
        <w:contextualSpacing/>
        <w:rPr>
          <w:sz w:val="24"/>
          <w:szCs w:val="24"/>
        </w:rPr>
      </w:pPr>
      <w:r w:rsidRPr="00DC3AC5">
        <w:rPr>
          <w:sz w:val="24"/>
          <w:szCs w:val="24"/>
        </w:rPr>
        <w:t xml:space="preserve">S tim u svezi očita je potreba za dodatnim angažmanom u kontekstu kvalitete vođenja operativnih radnih procesa i jačanja kontrolinga istih uz funkcionalnu povratnu vezu bez koje nije moguće optimalno uskladiti, a još teže optimizirati funkcionalne elemente unutar pojedinih sastavnica radne organizacije.  </w:t>
      </w:r>
    </w:p>
    <w:p w14:paraId="3ADB459A" w14:textId="77777777" w:rsidR="00D11D63" w:rsidRPr="00DC3AC5" w:rsidRDefault="00137FED">
      <w:pPr>
        <w:spacing w:after="160"/>
        <w:contextualSpacing/>
        <w:rPr>
          <w:sz w:val="24"/>
          <w:szCs w:val="24"/>
        </w:rPr>
      </w:pPr>
      <w:r w:rsidRPr="00DC3AC5">
        <w:rPr>
          <w:sz w:val="24"/>
          <w:szCs w:val="24"/>
        </w:rPr>
        <w:t>Potrebno je  nastaviti na jasnom definiranju i usklađivanju unutarnjih procedura rada i poslovanja.</w:t>
      </w:r>
    </w:p>
    <w:p w14:paraId="090A0023" w14:textId="06A588E9" w:rsidR="00D11D63" w:rsidRDefault="00137FED">
      <w:pPr>
        <w:spacing w:after="160"/>
        <w:contextualSpacing/>
        <w:rPr>
          <w:sz w:val="24"/>
          <w:szCs w:val="24"/>
        </w:rPr>
      </w:pPr>
      <w:r w:rsidRPr="00DC3AC5">
        <w:rPr>
          <w:sz w:val="24"/>
          <w:szCs w:val="24"/>
        </w:rPr>
        <w:t>Dosadašnji doprinos adekvatnijeg  praćenje i analize po mjestima troška rezultirao je objektivnom ažuriranju pojedinih stavki iznesenog plana za 202</w:t>
      </w:r>
      <w:r w:rsidR="00C73E0C" w:rsidRPr="00DC3AC5">
        <w:rPr>
          <w:sz w:val="24"/>
          <w:szCs w:val="24"/>
        </w:rPr>
        <w:t>6</w:t>
      </w:r>
      <w:r w:rsidRPr="00DC3AC5">
        <w:rPr>
          <w:sz w:val="24"/>
          <w:szCs w:val="24"/>
        </w:rPr>
        <w:t>. godinu</w:t>
      </w:r>
      <w:r w:rsidR="00C73E0C" w:rsidRPr="00DC3AC5">
        <w:rPr>
          <w:sz w:val="24"/>
          <w:szCs w:val="24"/>
        </w:rPr>
        <w:t xml:space="preserve">. U 2026. godini plan je da se i neracionalno poslovanje </w:t>
      </w:r>
      <w:r w:rsidR="005C7912" w:rsidRPr="00DC3AC5">
        <w:rPr>
          <w:sz w:val="24"/>
          <w:szCs w:val="24"/>
        </w:rPr>
        <w:t xml:space="preserve"> Odjela medija</w:t>
      </w:r>
      <w:r w:rsidR="00C73E0C" w:rsidRPr="00DC3AC5">
        <w:rPr>
          <w:sz w:val="24"/>
          <w:szCs w:val="24"/>
        </w:rPr>
        <w:t xml:space="preserve"> iz prethodnog razdoblja, racionalizacijom obavljanja djelatnosti što više približi rezultatima </w:t>
      </w:r>
      <w:r w:rsidR="00617678" w:rsidRPr="00DC3AC5">
        <w:rPr>
          <w:sz w:val="24"/>
          <w:szCs w:val="24"/>
        </w:rPr>
        <w:t>ostvarenim</w:t>
      </w:r>
      <w:r w:rsidR="00C73E0C" w:rsidRPr="00DC3AC5">
        <w:rPr>
          <w:sz w:val="24"/>
          <w:szCs w:val="24"/>
        </w:rPr>
        <w:t xml:space="preserve"> u ostalim odjelima</w:t>
      </w:r>
      <w:r w:rsidR="008607A1" w:rsidRPr="00DC3AC5">
        <w:rPr>
          <w:sz w:val="24"/>
          <w:szCs w:val="24"/>
        </w:rPr>
        <w:t xml:space="preserve"> Društva</w:t>
      </w:r>
      <w:r w:rsidR="00C73E0C" w:rsidRPr="00DC3AC5">
        <w:rPr>
          <w:sz w:val="24"/>
          <w:szCs w:val="24"/>
        </w:rPr>
        <w:t>.</w:t>
      </w:r>
      <w:r w:rsidR="00C73E0C">
        <w:rPr>
          <w:sz w:val="24"/>
          <w:szCs w:val="24"/>
        </w:rPr>
        <w:t xml:space="preserve"> </w:t>
      </w:r>
    </w:p>
    <w:p w14:paraId="5EFEE4C9" w14:textId="77777777" w:rsidR="00DC3AC5" w:rsidRDefault="00DC3AC5">
      <w:pPr>
        <w:spacing w:after="160"/>
        <w:contextualSpacing/>
        <w:rPr>
          <w:sz w:val="24"/>
          <w:szCs w:val="24"/>
        </w:rPr>
      </w:pPr>
    </w:p>
    <w:p w14:paraId="15B26FBA" w14:textId="77777777" w:rsidR="00D11D63" w:rsidRDefault="00137FED">
      <w:pPr>
        <w:pStyle w:val="Naslov3"/>
        <w:numPr>
          <w:ilvl w:val="0"/>
          <w:numId w:val="14"/>
        </w:numPr>
        <w:rPr>
          <w:b/>
          <w:bCs/>
          <w:color w:val="000000"/>
        </w:rPr>
      </w:pPr>
      <w:bookmarkStart w:id="1" w:name="_Toc90294240"/>
      <w:r>
        <w:rPr>
          <w:b/>
          <w:bCs/>
          <w:color w:val="000000"/>
        </w:rPr>
        <w:t>INFORMACIJE O TRGOVAČKOM DRUŠTVU</w:t>
      </w:r>
      <w:bookmarkEnd w:id="1"/>
    </w:p>
    <w:p w14:paraId="7974E12C" w14:textId="77777777" w:rsidR="00D11D63" w:rsidRDefault="00D11D63">
      <w:pPr>
        <w:rPr>
          <w:color w:val="000000"/>
          <w:sz w:val="24"/>
          <w:szCs w:val="24"/>
        </w:rPr>
      </w:pPr>
    </w:p>
    <w:p w14:paraId="13EF5471" w14:textId="77777777" w:rsidR="00D11D63" w:rsidRDefault="00137FED">
      <w:pPr>
        <w:pStyle w:val="Naslov3"/>
        <w:numPr>
          <w:ilvl w:val="1"/>
          <w:numId w:val="14"/>
        </w:numPr>
        <w:rPr>
          <w:color w:val="000000"/>
        </w:rPr>
      </w:pPr>
      <w:bookmarkStart w:id="2" w:name="_Toc90294241"/>
      <w:r>
        <w:rPr>
          <w:color w:val="000000"/>
        </w:rPr>
        <w:t>MATIČNO DRUŠTVO</w:t>
      </w:r>
      <w:bookmarkEnd w:id="2"/>
    </w:p>
    <w:p w14:paraId="5F87257A" w14:textId="77777777" w:rsidR="00D11D63" w:rsidRDefault="00D11D63">
      <w:pPr>
        <w:rPr>
          <w:color w:val="000000"/>
        </w:rPr>
      </w:pPr>
    </w:p>
    <w:p w14:paraId="5EB59C86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Dugi naziv: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TROGIR HOLDING d.o.o. za komunalne djelatnosti, parking i usluge</w:t>
      </w:r>
    </w:p>
    <w:p w14:paraId="7842AD66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OIB: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09746817380</w:t>
      </w:r>
    </w:p>
    <w:p w14:paraId="31031166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Matični broj: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060258020</w:t>
      </w:r>
    </w:p>
    <w:p w14:paraId="5DBF4CE5" w14:textId="77777777" w:rsidR="00D11D63" w:rsidRDefault="00137FED">
      <w:r>
        <w:rPr>
          <w:color w:val="000000"/>
          <w:sz w:val="24"/>
          <w:szCs w:val="24"/>
        </w:rPr>
        <w:t xml:space="preserve">Broj zaposlenih: </w:t>
      </w:r>
      <w:r>
        <w:tab/>
      </w:r>
      <w:r>
        <w:rPr>
          <w:color w:val="000000"/>
          <w:sz w:val="24"/>
          <w:szCs w:val="24"/>
        </w:rPr>
        <w:t>168</w:t>
      </w:r>
    </w:p>
    <w:p w14:paraId="0EF5DB0A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NKD: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N8121 – Osnovno čišćenje zgrada</w:t>
      </w:r>
    </w:p>
    <w:p w14:paraId="08E0CD0D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Mjesto sjedišta: </w:t>
      </w:r>
      <w:r>
        <w:rPr>
          <w:color w:val="000000"/>
          <w:sz w:val="24"/>
          <w:szCs w:val="24"/>
        </w:rPr>
        <w:tab/>
        <w:t>Trogir, Put Mulina 2</w:t>
      </w:r>
    </w:p>
    <w:p w14:paraId="33272AF7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Datum upisa: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22.10.2009.</w:t>
      </w:r>
    </w:p>
    <w:p w14:paraId="00A804E6" w14:textId="77777777" w:rsidR="00D11D63" w:rsidRDefault="00137FED">
      <w:pPr>
        <w:pStyle w:val="Naslov3"/>
        <w:numPr>
          <w:ilvl w:val="1"/>
          <w:numId w:val="14"/>
        </w:numPr>
        <w:rPr>
          <w:color w:val="000000"/>
        </w:rPr>
      </w:pPr>
      <w:bookmarkStart w:id="3" w:name="_Toc90294242"/>
      <w:r>
        <w:rPr>
          <w:color w:val="000000"/>
        </w:rPr>
        <w:t>K</w:t>
      </w:r>
      <w:bookmarkStart w:id="4" w:name="_Hlk58585547"/>
      <w:r>
        <w:rPr>
          <w:color w:val="000000"/>
        </w:rPr>
        <w:t>LJUČNE OSOBE</w:t>
      </w:r>
      <w:bookmarkEnd w:id="3"/>
    </w:p>
    <w:p w14:paraId="48D0A3C0" w14:textId="77777777" w:rsidR="00D11D63" w:rsidRDefault="00D11D63">
      <w:pPr>
        <w:rPr>
          <w:color w:val="000000"/>
        </w:rPr>
      </w:pPr>
    </w:p>
    <w:bookmarkEnd w:id="4"/>
    <w:p w14:paraId="0726DF6F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Zastupnici: Danijel Kukoč</w:t>
      </w:r>
    </w:p>
    <w:p w14:paraId="79566CBA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Vlasnici: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GRAD TROGIR</w:t>
      </w:r>
    </w:p>
    <w:p w14:paraId="03961FBF" w14:textId="2BBF8A7E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Nadzorni odbor: Ivan Emer, Denis Vukman, Sonja Erceg</w:t>
      </w:r>
      <w:r w:rsidR="005857F8">
        <w:rPr>
          <w:color w:val="000000"/>
          <w:sz w:val="24"/>
          <w:szCs w:val="24"/>
        </w:rPr>
        <w:t>, Sanja Zulim, Dalibor Babić i  Goran Ćudina</w:t>
      </w:r>
    </w:p>
    <w:p w14:paraId="0F78ED5B" w14:textId="30072700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Odlukom člana Društva od 9. studenog 2023. godine usklađen je temeljni kapital sa Zakonom o trgovačkim društvima </w:t>
      </w:r>
      <w:r w:rsidR="00617678">
        <w:rPr>
          <w:color w:val="000000"/>
          <w:sz w:val="24"/>
          <w:szCs w:val="24"/>
        </w:rPr>
        <w:t xml:space="preserve">i iznosi </w:t>
      </w:r>
      <w:r>
        <w:rPr>
          <w:color w:val="000000"/>
          <w:sz w:val="24"/>
          <w:szCs w:val="24"/>
        </w:rPr>
        <w:t>836.140,00 EUR. Temeljem istog jedini član Društva je Grad Trogir koji je preuzimanjem poslovnim udjela od članova Društva Općine Seget  i Općine Marina postao 100 % vlasnik Društva.</w:t>
      </w:r>
    </w:p>
    <w:p w14:paraId="176AC98E" w14:textId="77777777" w:rsidR="00D11D63" w:rsidRDefault="00D11D63">
      <w:pPr>
        <w:rPr>
          <w:color w:val="000000"/>
          <w:sz w:val="24"/>
          <w:szCs w:val="24"/>
        </w:rPr>
      </w:pPr>
    </w:p>
    <w:p w14:paraId="76C30E5F" w14:textId="77777777" w:rsidR="00D11D63" w:rsidRDefault="00137FED">
      <w:pPr>
        <w:pStyle w:val="Naslov3"/>
        <w:numPr>
          <w:ilvl w:val="1"/>
          <w:numId w:val="14"/>
        </w:numPr>
        <w:rPr>
          <w:color w:val="000000"/>
        </w:rPr>
      </w:pPr>
      <w:bookmarkStart w:id="5" w:name="_Toc90294243"/>
      <w:r>
        <w:rPr>
          <w:color w:val="000000"/>
        </w:rPr>
        <w:t>OSNOVNE INFORMACIJE</w:t>
      </w:r>
      <w:bookmarkEnd w:id="5"/>
    </w:p>
    <w:p w14:paraId="340B3EC9" w14:textId="77777777" w:rsidR="00D11D63" w:rsidRDefault="00D11D63">
      <w:pPr>
        <w:rPr>
          <w:color w:val="000000"/>
        </w:rPr>
      </w:pPr>
    </w:p>
    <w:p w14:paraId="2E746AA1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Računi: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Nije u blokadi</w:t>
      </w:r>
    </w:p>
    <w:p w14:paraId="432B7283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Porezni dug: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Nema poreznog duga</w:t>
      </w:r>
    </w:p>
    <w:p w14:paraId="74D4E520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Neisplaćene plaće: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Poslovni subjekt uredno isplaćuje plaće</w:t>
      </w:r>
    </w:p>
    <w:p w14:paraId="2666FF27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Veličina poduzeća: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Mali</w:t>
      </w:r>
    </w:p>
    <w:p w14:paraId="58573ED4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Registarsko tijelo: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Trgovački sud u Splitu</w:t>
      </w:r>
    </w:p>
    <w:p w14:paraId="261225AE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Pravni oblik: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društvo sa ograničenom odgovornošću</w:t>
      </w:r>
    </w:p>
    <w:p w14:paraId="213C55CF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Temeljni kapital društva iznosi: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836.140,00 EUR</w:t>
      </w:r>
    </w:p>
    <w:p w14:paraId="22B4B89F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Trenutno stanje računa: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Aktivan</w:t>
      </w:r>
    </w:p>
    <w:p w14:paraId="0A1B7E1D" w14:textId="77777777" w:rsidR="00D11D63" w:rsidRDefault="00137FE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Ukupan broj dana u blokadi: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0</w:t>
      </w:r>
    </w:p>
    <w:p w14:paraId="5BC1C38C" w14:textId="77777777" w:rsidR="00D11D63" w:rsidRDefault="00D11D63">
      <w:pPr>
        <w:rPr>
          <w:color w:val="000000"/>
          <w:sz w:val="24"/>
          <w:szCs w:val="24"/>
        </w:rPr>
      </w:pPr>
    </w:p>
    <w:p w14:paraId="3377C7B9" w14:textId="77777777" w:rsidR="00D11D63" w:rsidRDefault="00137FED">
      <w:pPr>
        <w:pStyle w:val="Naslov3"/>
        <w:numPr>
          <w:ilvl w:val="0"/>
          <w:numId w:val="14"/>
        </w:numPr>
        <w:rPr>
          <w:b/>
          <w:bCs/>
          <w:color w:val="000000"/>
        </w:rPr>
      </w:pPr>
      <w:bookmarkStart w:id="6" w:name="_Toc90294244"/>
      <w:r>
        <w:rPr>
          <w:b/>
          <w:bCs/>
          <w:color w:val="000000"/>
        </w:rPr>
        <w:t>ORGANIZACIJSKI USTROJ TRGOVAČKOG DRUŠTVA TROGIR HOLDING D.O.O.</w:t>
      </w:r>
      <w:bookmarkEnd w:id="6"/>
    </w:p>
    <w:p w14:paraId="1535D356" w14:textId="77777777" w:rsidR="00D11D63" w:rsidRDefault="00D11D63">
      <w:pPr>
        <w:rPr>
          <w:color w:val="000000"/>
          <w:sz w:val="24"/>
          <w:szCs w:val="24"/>
        </w:rPr>
      </w:pPr>
    </w:p>
    <w:p w14:paraId="23D5DC88" w14:textId="1469D267" w:rsidR="002E53AC" w:rsidRPr="002E53AC" w:rsidRDefault="00137FED">
      <w:pPr>
        <w:contextualSpacing/>
        <w:rPr>
          <w:color w:val="000000"/>
          <w:sz w:val="24"/>
          <w:szCs w:val="24"/>
        </w:rPr>
      </w:pPr>
      <w:r w:rsidRPr="002E53AC">
        <w:rPr>
          <w:color w:val="000000"/>
          <w:sz w:val="24"/>
          <w:szCs w:val="24"/>
        </w:rPr>
        <w:t xml:space="preserve">Organizacijska struktura Društva </w:t>
      </w:r>
      <w:r w:rsidR="00F57750" w:rsidRPr="002E53AC">
        <w:rPr>
          <w:color w:val="000000"/>
          <w:sz w:val="24"/>
          <w:szCs w:val="24"/>
        </w:rPr>
        <w:t xml:space="preserve">djelomično je izmijenjena donošenjem novog Pravilnika o </w:t>
      </w:r>
      <w:r w:rsidR="002E53AC" w:rsidRPr="002E53AC">
        <w:rPr>
          <w:color w:val="000000"/>
          <w:sz w:val="24"/>
          <w:szCs w:val="24"/>
        </w:rPr>
        <w:t>unutarnjem ustrojstvu, organizaciji  i sistematizaciji radnih mjesta koja stupa na snagu 01.01.2026.godine.</w:t>
      </w:r>
    </w:p>
    <w:p w14:paraId="4CF93686" w14:textId="3AB9652D" w:rsidR="00D11D63" w:rsidRPr="00EA4793" w:rsidRDefault="00973312">
      <w:pPr>
        <w:contextualSpacing/>
        <w:rPr>
          <w:color w:val="000000"/>
          <w:sz w:val="24"/>
          <w:szCs w:val="24"/>
        </w:rPr>
      </w:pPr>
      <w:r w:rsidRPr="00EA4793">
        <w:rPr>
          <w:color w:val="000000"/>
          <w:sz w:val="24"/>
          <w:szCs w:val="24"/>
        </w:rPr>
        <w:t xml:space="preserve">Time se planira </w:t>
      </w:r>
      <w:r w:rsidR="00137FED" w:rsidRPr="00EA4793">
        <w:rPr>
          <w:color w:val="000000"/>
          <w:sz w:val="24"/>
          <w:szCs w:val="24"/>
        </w:rPr>
        <w:t xml:space="preserve"> dodatno poboljša</w:t>
      </w:r>
      <w:r w:rsidRPr="00EA4793">
        <w:rPr>
          <w:color w:val="000000"/>
          <w:sz w:val="24"/>
          <w:szCs w:val="24"/>
        </w:rPr>
        <w:t>ti</w:t>
      </w:r>
      <w:r w:rsidR="00137FED" w:rsidRPr="00EA4793">
        <w:rPr>
          <w:color w:val="000000"/>
          <w:sz w:val="24"/>
          <w:szCs w:val="24"/>
        </w:rPr>
        <w:t xml:space="preserve"> sistematičnost i efikasnost u radnim procesima u dijelu koji su kao nedostatci uočeni u prethodnom razdoblju.</w:t>
      </w:r>
    </w:p>
    <w:p w14:paraId="0FAD99EF" w14:textId="77777777" w:rsidR="00D11D63" w:rsidRPr="00EA4793" w:rsidRDefault="00137FED">
      <w:pPr>
        <w:contextualSpacing/>
        <w:rPr>
          <w:color w:val="000000"/>
          <w:sz w:val="24"/>
          <w:szCs w:val="24"/>
        </w:rPr>
      </w:pPr>
      <w:r w:rsidRPr="00EA4793">
        <w:rPr>
          <w:color w:val="000000"/>
          <w:sz w:val="24"/>
          <w:szCs w:val="24"/>
        </w:rPr>
        <w:t>Sukladno kontinuiranim analizama stanja kroz pokazatelje uspješnosti RJ, Odjela, nastavit  će se optimizirati organizacijsko ustrojstvo u cilju efikasnijeg poslovanja Društva i u narednom poslovnom razdoblju.</w:t>
      </w:r>
    </w:p>
    <w:p w14:paraId="11F724D8" w14:textId="77777777" w:rsidR="00D11D63" w:rsidRPr="00B929D3" w:rsidRDefault="00137FED" w:rsidP="00B929D3">
      <w:pPr>
        <w:contextualSpacing/>
        <w:rPr>
          <w:color w:val="000000"/>
          <w:sz w:val="24"/>
          <w:szCs w:val="24"/>
        </w:rPr>
      </w:pPr>
      <w:r w:rsidRPr="00B929D3">
        <w:rPr>
          <w:color w:val="000000"/>
          <w:sz w:val="24"/>
          <w:szCs w:val="24"/>
        </w:rPr>
        <w:lastRenderedPageBreak/>
        <w:t>Nastavit će se uvođenje dodatnih mjera, odnosno obvezujućih procedura od strane Uprave društva, kako bi se olakšalo, standardiziralo vođenje i kontrolne radnje rukovodećeg kadra.</w:t>
      </w:r>
    </w:p>
    <w:p w14:paraId="514D1CBA" w14:textId="77777777" w:rsidR="00D11D63" w:rsidRDefault="00137FED">
      <w:pPr>
        <w:contextualSpacing/>
        <w:rPr>
          <w:color w:val="000000"/>
          <w:sz w:val="24"/>
          <w:szCs w:val="24"/>
        </w:rPr>
      </w:pPr>
      <w:r w:rsidRPr="00B929D3">
        <w:rPr>
          <w:color w:val="000000"/>
          <w:sz w:val="24"/>
          <w:szCs w:val="24"/>
        </w:rPr>
        <w:t>U tu svrhu izrađeni su novi interni akti Društva, kao i posebni akti u svih Sektorima kako bi interne i eksterne procedure rada olakšale sami proces rada, ali i poboljšale efikasnost i operativnost u radu samo Društva, te optimizirale troškove.</w:t>
      </w:r>
      <w:r>
        <w:rPr>
          <w:color w:val="000000"/>
          <w:sz w:val="24"/>
          <w:szCs w:val="24"/>
        </w:rPr>
        <w:t xml:space="preserve"> </w:t>
      </w:r>
    </w:p>
    <w:p w14:paraId="1653F67F" w14:textId="77777777" w:rsidR="00D11D63" w:rsidRDefault="00D11D63">
      <w:pPr>
        <w:contextualSpacing/>
        <w:rPr>
          <w:color w:val="000000"/>
          <w:sz w:val="24"/>
          <w:szCs w:val="24"/>
        </w:rPr>
      </w:pPr>
    </w:p>
    <w:p w14:paraId="2E242155" w14:textId="77777777" w:rsidR="00D11D63" w:rsidRDefault="00137FED">
      <w:pPr>
        <w:pStyle w:val="Opisslike"/>
      </w:pPr>
      <w:bookmarkStart w:id="7" w:name="_Toc89859699"/>
      <w:bookmarkStart w:id="8" w:name="_Toc90294334"/>
      <w:r>
        <w:rPr>
          <w:noProof/>
          <w:color w:val="000000"/>
          <w:sz w:val="24"/>
          <w:szCs w:val="24"/>
        </w:rPr>
        <w:drawing>
          <wp:inline distT="0" distB="0" distL="0" distR="0" wp14:anchorId="0FB42EC3" wp14:editId="0E729FD9">
            <wp:extent cx="6246760" cy="3663351"/>
            <wp:effectExtent l="0" t="0" r="0" b="0"/>
            <wp:docPr id="147912566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6760" cy="36633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9" w:name="_Toc89861037"/>
      <w:r>
        <w:rPr>
          <w:color w:val="000000"/>
        </w:rPr>
        <w:t xml:space="preserve">Slika I </w:t>
      </w:r>
      <w:r>
        <w:rPr>
          <w:b w:val="0"/>
          <w:bCs w:val="0"/>
          <w:i/>
          <w:iCs/>
          <w:color w:val="000000"/>
        </w:rPr>
        <w:t>Organizacijska struktura trgovačkog društva Trogir Holding d.o.o.</w:t>
      </w:r>
      <w:bookmarkEnd w:id="7"/>
      <w:bookmarkEnd w:id="8"/>
      <w:bookmarkEnd w:id="9"/>
    </w:p>
    <w:p w14:paraId="3B1F8063" w14:textId="77777777" w:rsidR="00D11D63" w:rsidRDefault="00D11D63">
      <w:pPr>
        <w:rPr>
          <w:color w:val="FF0000"/>
          <w:sz w:val="22"/>
          <w:szCs w:val="22"/>
        </w:rPr>
      </w:pPr>
    </w:p>
    <w:p w14:paraId="428D2CE2" w14:textId="77777777" w:rsidR="00D11D63" w:rsidRPr="00973312" w:rsidRDefault="00137FED">
      <w:pPr>
        <w:pStyle w:val="Naslov3"/>
        <w:numPr>
          <w:ilvl w:val="0"/>
          <w:numId w:val="14"/>
        </w:numPr>
        <w:rPr>
          <w:b/>
          <w:bCs/>
          <w:highlight w:val="cyan"/>
        </w:rPr>
      </w:pPr>
      <w:bookmarkStart w:id="10" w:name="_Toc90294245"/>
      <w:r w:rsidRPr="00C50C9E">
        <w:rPr>
          <w:b/>
          <w:bCs/>
        </w:rPr>
        <w:t>TEMELJNE ODREDNICE UPRAVE</w:t>
      </w:r>
      <w:bookmarkEnd w:id="10"/>
      <w:r w:rsidRPr="00C50C9E">
        <w:rPr>
          <w:b/>
          <w:bCs/>
        </w:rPr>
        <w:t xml:space="preserve"> </w:t>
      </w:r>
    </w:p>
    <w:p w14:paraId="3CFFA88D" w14:textId="77777777" w:rsidR="00D11D63" w:rsidRDefault="00D11D63">
      <w:pPr>
        <w:rPr>
          <w:sz w:val="24"/>
          <w:szCs w:val="24"/>
        </w:rPr>
      </w:pPr>
    </w:p>
    <w:p w14:paraId="7E71E2B6" w14:textId="6B55ADED" w:rsidR="00D11D63" w:rsidRPr="00C4019B" w:rsidRDefault="00137FED">
      <w:pPr>
        <w:contextualSpacing/>
        <w:rPr>
          <w:sz w:val="24"/>
          <w:szCs w:val="24"/>
        </w:rPr>
      </w:pPr>
      <w:r w:rsidRPr="00C4019B">
        <w:rPr>
          <w:sz w:val="24"/>
          <w:szCs w:val="24"/>
        </w:rPr>
        <w:t>Cilj Uprave društva u narednom razdoblju je zadržati kontinuirano uspješno poslovanje, kao i osigurati samo</w:t>
      </w:r>
      <w:r w:rsidR="00804262" w:rsidRPr="00C4019B">
        <w:rPr>
          <w:sz w:val="24"/>
          <w:szCs w:val="24"/>
        </w:rPr>
        <w:t xml:space="preserve"> </w:t>
      </w:r>
      <w:r w:rsidRPr="00C4019B">
        <w:rPr>
          <w:sz w:val="24"/>
          <w:szCs w:val="24"/>
        </w:rPr>
        <w:t xml:space="preserve">održivost Društva u svim Sektorima, te osigurati adekvatnu uslugu korisnicima, kao i osigurati da Društvo bude poželjan poslovni partner prema trećima i poslodavac u odnosu na radnike Društva. </w:t>
      </w:r>
      <w:r w:rsidR="00804262" w:rsidRPr="00C4019B">
        <w:rPr>
          <w:sz w:val="24"/>
          <w:szCs w:val="24"/>
        </w:rPr>
        <w:t>To će biti jako izazovno u 202</w:t>
      </w:r>
      <w:r w:rsidR="0087376B" w:rsidRPr="00C4019B">
        <w:rPr>
          <w:sz w:val="24"/>
          <w:szCs w:val="24"/>
        </w:rPr>
        <w:t>6</w:t>
      </w:r>
      <w:r w:rsidR="00804262" w:rsidRPr="00C4019B">
        <w:rPr>
          <w:sz w:val="24"/>
          <w:szCs w:val="24"/>
        </w:rPr>
        <w:t xml:space="preserve">.godini prvenstveno u Sektoru gospodarenja otpadom zbog uvođenja </w:t>
      </w:r>
      <w:r w:rsidR="00B144DB" w:rsidRPr="00C4019B">
        <w:rPr>
          <w:sz w:val="24"/>
          <w:szCs w:val="24"/>
        </w:rPr>
        <w:t>naknade za odla</w:t>
      </w:r>
      <w:r w:rsidR="00B3394C" w:rsidRPr="00C4019B">
        <w:rPr>
          <w:sz w:val="24"/>
          <w:szCs w:val="24"/>
        </w:rPr>
        <w:t>ganje otpada,</w:t>
      </w:r>
      <w:r w:rsidR="0087376B" w:rsidRPr="00C4019B">
        <w:rPr>
          <w:sz w:val="24"/>
          <w:szCs w:val="24"/>
        </w:rPr>
        <w:t xml:space="preserve"> očekivanog povećanja cijena usluga zbrinjavanja otpada, a</w:t>
      </w:r>
      <w:r w:rsidR="00B3394C" w:rsidRPr="00C4019B">
        <w:rPr>
          <w:sz w:val="24"/>
          <w:szCs w:val="24"/>
        </w:rPr>
        <w:t xml:space="preserve"> </w:t>
      </w:r>
      <w:r w:rsidR="00C4019B" w:rsidRPr="00C4019B">
        <w:rPr>
          <w:sz w:val="24"/>
          <w:szCs w:val="24"/>
        </w:rPr>
        <w:t>posebno</w:t>
      </w:r>
      <w:r w:rsidR="00B3394C" w:rsidRPr="00C4019B">
        <w:rPr>
          <w:sz w:val="24"/>
          <w:szCs w:val="24"/>
        </w:rPr>
        <w:t xml:space="preserve"> popunjenost deponija Vučje Brdo. </w:t>
      </w:r>
      <w:r w:rsidRPr="00C4019B">
        <w:rPr>
          <w:sz w:val="24"/>
          <w:szCs w:val="24"/>
        </w:rPr>
        <w:t>U tu svrhu naglasak će biti na:</w:t>
      </w:r>
    </w:p>
    <w:p w14:paraId="7213687C" w14:textId="77777777" w:rsidR="00D11D63" w:rsidRPr="00C4019B" w:rsidRDefault="00137FED">
      <w:pPr>
        <w:pStyle w:val="Odlomakpopisa"/>
        <w:numPr>
          <w:ilvl w:val="0"/>
          <w:numId w:val="15"/>
        </w:numPr>
        <w:rPr>
          <w:sz w:val="24"/>
          <w:szCs w:val="24"/>
        </w:rPr>
      </w:pPr>
      <w:r w:rsidRPr="00C4019B">
        <w:rPr>
          <w:sz w:val="24"/>
          <w:szCs w:val="24"/>
        </w:rPr>
        <w:t>permanentnom povećanju konkurentnosti među zaposlenicima u cilju poboljšavanja produktivnosti i kvalitete rada i rezultata rada,</w:t>
      </w:r>
    </w:p>
    <w:p w14:paraId="6D9C4D5D" w14:textId="77777777" w:rsidR="00D11D63" w:rsidRPr="00D846BE" w:rsidRDefault="00137FED">
      <w:pPr>
        <w:pStyle w:val="Odlomakpopisa"/>
        <w:numPr>
          <w:ilvl w:val="0"/>
          <w:numId w:val="15"/>
        </w:numPr>
        <w:rPr>
          <w:sz w:val="24"/>
          <w:szCs w:val="24"/>
        </w:rPr>
      </w:pPr>
      <w:r w:rsidRPr="00D846BE">
        <w:rPr>
          <w:sz w:val="24"/>
          <w:szCs w:val="24"/>
        </w:rPr>
        <w:lastRenderedPageBreak/>
        <w:t>kontinuiranom educiranju i izobrazbi kadrova, redovitoj obuci zaposlenih, treninzima sa ciljem osposobljavanja i usavršavanja na svim hijerarhijskim razinama, primjeni novih znanja, tehnika rada i samog upravljanja,</w:t>
      </w:r>
    </w:p>
    <w:p w14:paraId="2050CD6B" w14:textId="77777777" w:rsidR="00D11D63" w:rsidRPr="00D846BE" w:rsidRDefault="00137FED">
      <w:pPr>
        <w:pStyle w:val="Odlomakpopisa"/>
        <w:numPr>
          <w:ilvl w:val="0"/>
          <w:numId w:val="15"/>
        </w:numPr>
        <w:rPr>
          <w:sz w:val="24"/>
          <w:szCs w:val="24"/>
        </w:rPr>
      </w:pPr>
      <w:r w:rsidRPr="00D846BE">
        <w:rPr>
          <w:sz w:val="24"/>
          <w:szCs w:val="24"/>
        </w:rPr>
        <w:t>maksimiziranju transparentnosti rada poduzeća, uz poštivanje zakonske regulative iz domene poslovanja i zaštite okoliša te internih akata i ostalih zahtijeva relevantnih zainteresiranih strana,</w:t>
      </w:r>
    </w:p>
    <w:p w14:paraId="56E5333F" w14:textId="77777777" w:rsidR="00D11D63" w:rsidRPr="00D846BE" w:rsidRDefault="00137FED">
      <w:pPr>
        <w:pStyle w:val="Odlomakpopisa"/>
        <w:numPr>
          <w:ilvl w:val="0"/>
          <w:numId w:val="15"/>
        </w:numPr>
        <w:rPr>
          <w:sz w:val="24"/>
          <w:szCs w:val="24"/>
        </w:rPr>
      </w:pPr>
      <w:r w:rsidRPr="00D846BE">
        <w:rPr>
          <w:sz w:val="24"/>
          <w:szCs w:val="24"/>
        </w:rPr>
        <w:t>uvažavanju razvojnih smjernica zaštite okoliša na lokalnoj i državnoj razini</w:t>
      </w:r>
    </w:p>
    <w:p w14:paraId="31EBECA0" w14:textId="77777777" w:rsidR="00D11D63" w:rsidRPr="00D846BE" w:rsidRDefault="00137FED">
      <w:pPr>
        <w:pStyle w:val="Odlomakpopisa"/>
        <w:numPr>
          <w:ilvl w:val="0"/>
          <w:numId w:val="15"/>
        </w:numPr>
        <w:rPr>
          <w:sz w:val="24"/>
          <w:szCs w:val="24"/>
        </w:rPr>
      </w:pPr>
      <w:r w:rsidRPr="00D846BE">
        <w:rPr>
          <w:sz w:val="24"/>
          <w:szCs w:val="24"/>
        </w:rPr>
        <w:t>pravovremeno investiranju, održavanju i nabavci novih sredstava i opreme potrebnih za obavljanje svih djelatnosti i usluga,</w:t>
      </w:r>
    </w:p>
    <w:p w14:paraId="42E18FD0" w14:textId="77777777" w:rsidR="00D11D63" w:rsidRPr="00D846BE" w:rsidRDefault="00137FED">
      <w:pPr>
        <w:pStyle w:val="Odlomakpopisa"/>
        <w:numPr>
          <w:ilvl w:val="0"/>
          <w:numId w:val="16"/>
        </w:numPr>
        <w:rPr>
          <w:sz w:val="24"/>
          <w:szCs w:val="24"/>
        </w:rPr>
      </w:pPr>
      <w:r w:rsidRPr="00D846BE">
        <w:rPr>
          <w:sz w:val="24"/>
          <w:szCs w:val="24"/>
        </w:rPr>
        <w:t>optimiziranju poslovanja svih radnih jedinica sa ciljem utvrđivanja točke pokrića,</w:t>
      </w:r>
    </w:p>
    <w:p w14:paraId="625708A9" w14:textId="77777777" w:rsidR="00D11D63" w:rsidRPr="00D846BE" w:rsidRDefault="00137FED">
      <w:pPr>
        <w:pStyle w:val="Odlomakpopisa"/>
        <w:numPr>
          <w:ilvl w:val="0"/>
          <w:numId w:val="16"/>
        </w:numPr>
        <w:rPr>
          <w:sz w:val="24"/>
          <w:szCs w:val="24"/>
        </w:rPr>
      </w:pPr>
      <w:r w:rsidRPr="00D846BE">
        <w:rPr>
          <w:sz w:val="24"/>
          <w:szCs w:val="24"/>
        </w:rPr>
        <w:t>povećanju kvalitete komunikacije prema korisnicima usluge, JLS, medijima sa ciljem postizanja povratnih komunikacijskih veza, nužnih kao informacija Upravi za donošenje Odluka u cilju ispunjavanja zahtijeva, potreba i očekivanja korisnika svojih usluga i relevantnih zainteresiranih,</w:t>
      </w:r>
    </w:p>
    <w:p w14:paraId="3FF41D07" w14:textId="77777777" w:rsidR="00D11D63" w:rsidRPr="00D846BE" w:rsidRDefault="00137FED">
      <w:pPr>
        <w:pStyle w:val="Odlomakpopisa"/>
        <w:numPr>
          <w:ilvl w:val="0"/>
          <w:numId w:val="16"/>
        </w:numPr>
        <w:rPr>
          <w:sz w:val="24"/>
          <w:szCs w:val="24"/>
        </w:rPr>
      </w:pPr>
      <w:r w:rsidRPr="00D846BE">
        <w:rPr>
          <w:sz w:val="24"/>
          <w:szCs w:val="24"/>
        </w:rPr>
        <w:t>promicanju kvalitete u svim fazama poslovnog procesa, te u svim segmentima pružanja usluga,</w:t>
      </w:r>
    </w:p>
    <w:p w14:paraId="130A6306" w14:textId="77777777" w:rsidR="00D11D63" w:rsidRPr="00D846BE" w:rsidRDefault="00137FED">
      <w:pPr>
        <w:pStyle w:val="Odlomakpopisa"/>
        <w:numPr>
          <w:ilvl w:val="0"/>
          <w:numId w:val="16"/>
        </w:numPr>
        <w:rPr>
          <w:sz w:val="24"/>
          <w:szCs w:val="24"/>
        </w:rPr>
      </w:pPr>
      <w:r w:rsidRPr="00D846BE">
        <w:rPr>
          <w:sz w:val="24"/>
          <w:szCs w:val="24"/>
        </w:rPr>
        <w:t>povećanju prihoda kroz dodatne aktivnosti, odnosno raspon poslovanja određenih Odjela, odnosno Radnih jedinica,</w:t>
      </w:r>
    </w:p>
    <w:p w14:paraId="1085899E" w14:textId="77777777" w:rsidR="00D11D63" w:rsidRPr="00D846BE" w:rsidRDefault="00137FED">
      <w:pPr>
        <w:pStyle w:val="Odlomakpopisa"/>
        <w:numPr>
          <w:ilvl w:val="0"/>
          <w:numId w:val="16"/>
        </w:numPr>
        <w:rPr>
          <w:sz w:val="24"/>
          <w:szCs w:val="24"/>
        </w:rPr>
      </w:pPr>
      <w:r w:rsidRPr="00D846BE">
        <w:rPr>
          <w:sz w:val="24"/>
          <w:szCs w:val="24"/>
        </w:rPr>
        <w:t>širenju raspon suradnje sa JLS kroz participiranje u projektima gdje poduzeće može dati svoj doprinos,</w:t>
      </w:r>
    </w:p>
    <w:p w14:paraId="6DFD1ADB" w14:textId="77777777" w:rsidR="00D11D63" w:rsidRPr="00D846BE" w:rsidRDefault="00137FED">
      <w:pPr>
        <w:pStyle w:val="Odlomakpopisa"/>
        <w:numPr>
          <w:ilvl w:val="0"/>
          <w:numId w:val="16"/>
        </w:numPr>
        <w:rPr>
          <w:sz w:val="24"/>
          <w:szCs w:val="24"/>
        </w:rPr>
      </w:pPr>
      <w:r w:rsidRPr="00D846BE">
        <w:rPr>
          <w:sz w:val="24"/>
          <w:szCs w:val="24"/>
        </w:rPr>
        <w:t>promicanju društveno odgovornog poslovanja poduzeća.</w:t>
      </w:r>
    </w:p>
    <w:p w14:paraId="21FC470F" w14:textId="77777777" w:rsidR="00D11D63" w:rsidRPr="00D846BE" w:rsidRDefault="00137FED">
      <w:pPr>
        <w:contextualSpacing/>
        <w:rPr>
          <w:sz w:val="24"/>
          <w:szCs w:val="24"/>
        </w:rPr>
      </w:pPr>
      <w:r w:rsidRPr="00D846BE">
        <w:rPr>
          <w:sz w:val="24"/>
          <w:szCs w:val="24"/>
        </w:rPr>
        <w:t xml:space="preserve">Uprava i nadalje od svih zaposlenih očekuje i zahtijeva punu podršku u provođenju ovih temeljnih odrednica koje definiraju poslovnu politiku samog trgovačkog društva TH. </w:t>
      </w:r>
    </w:p>
    <w:p w14:paraId="663EDBE5" w14:textId="77777777" w:rsidR="00D11D63" w:rsidRDefault="00137FED">
      <w:pPr>
        <w:contextualSpacing/>
      </w:pPr>
      <w:r w:rsidRPr="00D846BE">
        <w:rPr>
          <w:sz w:val="24"/>
          <w:szCs w:val="24"/>
        </w:rPr>
        <w:t>Kontinuirano usavršavanje na svom radnom mjestu dužnost je i obveza svih jer to je jedini način da se poboljša kvaliteta rada i usluge, a time osigura održiva pozicija trgovačkog društva u sve zahtjevnijem okruženju. Društvo je također, kroz primjenu važećih normi, zakona i propisa, odgovorno za zdravlje i sigurnost svojih zaposlenika</w:t>
      </w:r>
      <w:r w:rsidRPr="00D846BE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14:paraId="1486CB0B" w14:textId="3E5335D8" w:rsidR="00D11D63" w:rsidRDefault="00137FED">
      <w:pPr>
        <w:pStyle w:val="Naslov3"/>
        <w:numPr>
          <w:ilvl w:val="0"/>
          <w:numId w:val="14"/>
        </w:numPr>
        <w:rPr>
          <w:b/>
          <w:bCs/>
        </w:rPr>
      </w:pPr>
      <w:bookmarkStart w:id="11" w:name="_Toc90294246"/>
      <w:r>
        <w:rPr>
          <w:b/>
          <w:bCs/>
        </w:rPr>
        <w:t>PLAN PRIHODA ZA 202</w:t>
      </w:r>
      <w:r w:rsidR="00973312">
        <w:rPr>
          <w:b/>
          <w:bCs/>
        </w:rPr>
        <w:t>6</w:t>
      </w:r>
      <w:r>
        <w:rPr>
          <w:b/>
          <w:bCs/>
        </w:rPr>
        <w:t>. GODINU</w:t>
      </w:r>
      <w:bookmarkEnd w:id="11"/>
    </w:p>
    <w:tbl>
      <w:tblPr>
        <w:tblW w:w="8825" w:type="dxa"/>
        <w:tblLook w:val="04A0" w:firstRow="1" w:lastRow="0" w:firstColumn="1" w:lastColumn="0" w:noHBand="0" w:noVBand="1"/>
      </w:tblPr>
      <w:tblGrid>
        <w:gridCol w:w="725"/>
        <w:gridCol w:w="4227"/>
        <w:gridCol w:w="1393"/>
        <w:gridCol w:w="1180"/>
        <w:gridCol w:w="1300"/>
      </w:tblGrid>
      <w:tr w:rsidR="00564445" w:rsidRPr="00564445" w14:paraId="7934D299" w14:textId="77777777" w:rsidTr="00564445">
        <w:trPr>
          <w:trHeight w:val="1290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933C87" w14:textId="77777777" w:rsidR="00564445" w:rsidRPr="00564445" w:rsidRDefault="00564445" w:rsidP="00564445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64445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POZICIJA PLANA</w:t>
            </w:r>
          </w:p>
        </w:tc>
        <w:tc>
          <w:tcPr>
            <w:tcW w:w="4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85F9E9" w14:textId="77777777" w:rsidR="00564445" w:rsidRPr="00564445" w:rsidRDefault="00564445" w:rsidP="00564445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64445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P R I H O D I 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D12495" w14:textId="14A3EDB8" w:rsidR="00564445" w:rsidRPr="00564445" w:rsidRDefault="00564445" w:rsidP="00564445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564445">
              <w:rPr>
                <w:rFonts w:eastAsia="Times New Roman"/>
                <w:b/>
                <w:bCs/>
                <w:lang w:eastAsia="hr-HR"/>
              </w:rPr>
              <w:t>PROCJENA OSTVA</w:t>
            </w:r>
            <w:r>
              <w:rPr>
                <w:rFonts w:eastAsia="Times New Roman"/>
                <w:b/>
                <w:bCs/>
                <w:lang w:eastAsia="hr-HR"/>
              </w:rPr>
              <w:t>RE</w:t>
            </w:r>
            <w:r w:rsidRPr="00564445">
              <w:rPr>
                <w:rFonts w:eastAsia="Times New Roman"/>
                <w:b/>
                <w:bCs/>
                <w:lang w:eastAsia="hr-HR"/>
              </w:rPr>
              <w:t>NJA ZA 2025. g.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B751FCC" w14:textId="77777777" w:rsidR="00564445" w:rsidRPr="00564445" w:rsidRDefault="00564445" w:rsidP="00564445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564445">
              <w:rPr>
                <w:rFonts w:eastAsia="Times New Roman"/>
                <w:b/>
                <w:bCs/>
                <w:lang w:eastAsia="hr-HR"/>
              </w:rPr>
              <w:t xml:space="preserve">PLAN ZA 2026.g.                          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51D3BD" w14:textId="77777777" w:rsidR="00564445" w:rsidRPr="00564445" w:rsidRDefault="00564445" w:rsidP="00564445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lang w:eastAsia="hr-HR"/>
              </w:rPr>
            </w:pPr>
            <w:r w:rsidRPr="00564445">
              <w:rPr>
                <w:rFonts w:eastAsia="Times New Roman"/>
                <w:b/>
                <w:bCs/>
                <w:lang w:eastAsia="hr-HR"/>
              </w:rPr>
              <w:t>%  PLAN 2026. /PROCJENA OSTVARENJA ZA 2025.g.</w:t>
            </w:r>
          </w:p>
        </w:tc>
      </w:tr>
      <w:tr w:rsidR="00564445" w:rsidRPr="00564445" w14:paraId="1AE8ACD6" w14:textId="77777777" w:rsidTr="00564445">
        <w:trPr>
          <w:trHeight w:val="25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8028B8" w14:textId="77777777" w:rsidR="00564445" w:rsidRPr="00564445" w:rsidRDefault="00564445" w:rsidP="00564445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64445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A725D7" w14:textId="77777777" w:rsidR="00564445" w:rsidRPr="00564445" w:rsidRDefault="00564445" w:rsidP="00564445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64445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PRIHODI POSLOVANJA: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635A7C" w14:textId="77777777" w:rsidR="00564445" w:rsidRPr="00564445" w:rsidRDefault="00564445" w:rsidP="00564445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64445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6.407.413,64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93156D" w14:textId="77777777" w:rsidR="00564445" w:rsidRPr="00564445" w:rsidRDefault="00564445" w:rsidP="00564445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64445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7.008.100,00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FA9A9ED" w14:textId="77777777" w:rsidR="00564445" w:rsidRPr="00564445" w:rsidRDefault="00564445" w:rsidP="00564445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64445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9,37%</w:t>
            </w:r>
          </w:p>
        </w:tc>
      </w:tr>
    </w:tbl>
    <w:p w14:paraId="033DEA9A" w14:textId="5236D22C" w:rsidR="00D11D63" w:rsidRDefault="00137FED">
      <w:pPr>
        <w:pStyle w:val="Opisslike"/>
      </w:pPr>
      <w:bookmarkStart w:id="12" w:name="_Toc89860788"/>
      <w:bookmarkStart w:id="13" w:name="_Toc89860890"/>
      <w:bookmarkStart w:id="14" w:name="_Toc89861008"/>
      <w:bookmarkStart w:id="15" w:name="_Toc90294216"/>
      <w:r>
        <w:rPr>
          <w:color w:val="000000"/>
        </w:rPr>
        <w:t>Tablica I</w:t>
      </w:r>
      <w:r w:rsidR="00973312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 w:val="0"/>
          <w:bCs w:val="0"/>
          <w:i/>
          <w:iCs/>
          <w:color w:val="000000"/>
        </w:rPr>
        <w:t>plan prihoda za 202</w:t>
      </w:r>
      <w:r w:rsidR="00973312">
        <w:rPr>
          <w:b w:val="0"/>
          <w:bCs w:val="0"/>
          <w:i/>
          <w:iCs/>
          <w:color w:val="000000"/>
        </w:rPr>
        <w:t>6</w:t>
      </w:r>
      <w:r>
        <w:rPr>
          <w:b w:val="0"/>
          <w:bCs w:val="0"/>
          <w:i/>
          <w:iCs/>
          <w:color w:val="000000"/>
        </w:rPr>
        <w:t>.g.</w:t>
      </w:r>
      <w:bookmarkEnd w:id="12"/>
      <w:bookmarkEnd w:id="13"/>
      <w:bookmarkEnd w:id="14"/>
      <w:bookmarkEnd w:id="15"/>
    </w:p>
    <w:p w14:paraId="795DC23A" w14:textId="2A875EED" w:rsidR="00D11D63" w:rsidRDefault="00137FED">
      <w:pPr>
        <w:contextualSpacing/>
      </w:pPr>
      <w:r>
        <w:rPr>
          <w:color w:val="000000"/>
          <w:sz w:val="24"/>
          <w:szCs w:val="24"/>
        </w:rPr>
        <w:t>Ukupni prihodi za 202</w:t>
      </w:r>
      <w:r w:rsidR="00973312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godinu planirani su u iznosu od </w:t>
      </w:r>
      <w:r w:rsidR="00564445">
        <w:rPr>
          <w:rFonts w:eastAsia="Times New Roman"/>
          <w:sz w:val="24"/>
          <w:szCs w:val="24"/>
          <w:lang w:eastAsia="hr-HR"/>
        </w:rPr>
        <w:t>7.008.100,00</w:t>
      </w:r>
      <w:r>
        <w:rPr>
          <w:rFonts w:eastAsia="Times New Roman"/>
          <w:sz w:val="24"/>
          <w:szCs w:val="24"/>
          <w:lang w:eastAsia="hr-HR"/>
        </w:rPr>
        <w:t xml:space="preserve"> E</w:t>
      </w:r>
      <w:r>
        <w:rPr>
          <w:color w:val="000000"/>
          <w:sz w:val="24"/>
          <w:szCs w:val="24"/>
        </w:rPr>
        <w:t xml:space="preserve">UR što znači povećanje za </w:t>
      </w:r>
      <w:r w:rsidR="00564445">
        <w:rPr>
          <w:color w:val="000000"/>
          <w:sz w:val="24"/>
          <w:szCs w:val="24"/>
        </w:rPr>
        <w:t>9,37</w:t>
      </w:r>
      <w:r>
        <w:rPr>
          <w:color w:val="000000"/>
          <w:sz w:val="24"/>
          <w:szCs w:val="24"/>
        </w:rPr>
        <w:t xml:space="preserve"> % u odnosu na </w:t>
      </w:r>
      <w:r w:rsidR="00564445">
        <w:rPr>
          <w:color w:val="000000"/>
          <w:sz w:val="24"/>
          <w:szCs w:val="24"/>
        </w:rPr>
        <w:t>pro</w:t>
      </w:r>
      <w:r w:rsidR="00CC03D1">
        <w:rPr>
          <w:color w:val="000000"/>
          <w:sz w:val="24"/>
          <w:szCs w:val="24"/>
        </w:rPr>
        <w:t xml:space="preserve">šlu </w:t>
      </w:r>
      <w:r>
        <w:rPr>
          <w:color w:val="000000"/>
          <w:sz w:val="24"/>
          <w:szCs w:val="24"/>
        </w:rPr>
        <w:t>202</w:t>
      </w:r>
      <w:r w:rsidR="00CC0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.godinu, a prihodi od prodaje proizvoda i usluga iznose </w:t>
      </w:r>
      <w:r w:rsidR="00E86FD5">
        <w:rPr>
          <w:rFonts w:eastAsia="Times New Roman"/>
          <w:sz w:val="24"/>
          <w:szCs w:val="24"/>
          <w:lang w:eastAsia="hr-HR"/>
        </w:rPr>
        <w:t>6.468.100,00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 w:cs="Calibri"/>
          <w:color w:val="000000"/>
          <w:sz w:val="24"/>
          <w:szCs w:val="24"/>
          <w:lang w:eastAsia="hr-HR"/>
        </w:rPr>
        <w:t xml:space="preserve">EUR </w:t>
      </w:r>
      <w:r>
        <w:rPr>
          <w:color w:val="000000"/>
          <w:sz w:val="24"/>
          <w:szCs w:val="24"/>
        </w:rPr>
        <w:t xml:space="preserve">. </w:t>
      </w:r>
    </w:p>
    <w:p w14:paraId="1CF11254" w14:textId="5031AF0D" w:rsidR="00D11D63" w:rsidRDefault="00137FED">
      <w:pP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Planirano povećanje prihoda </w:t>
      </w:r>
      <w:r w:rsidR="00CC03D1">
        <w:rPr>
          <w:color w:val="000000"/>
          <w:sz w:val="24"/>
          <w:szCs w:val="24"/>
        </w:rPr>
        <w:t xml:space="preserve">od prodaje proizvoda i usluga </w:t>
      </w:r>
      <w:r>
        <w:rPr>
          <w:color w:val="000000"/>
          <w:sz w:val="24"/>
          <w:szCs w:val="24"/>
        </w:rPr>
        <w:t>u 202</w:t>
      </w:r>
      <w:r w:rsidR="00CC03D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godini očekuje se u relativnom iznosu od </w:t>
      </w:r>
      <w:r w:rsidR="00EC3693">
        <w:rPr>
          <w:color w:val="000000"/>
          <w:sz w:val="24"/>
          <w:szCs w:val="24"/>
        </w:rPr>
        <w:t>7,35</w:t>
      </w:r>
      <w:r>
        <w:rPr>
          <w:color w:val="000000"/>
          <w:sz w:val="24"/>
          <w:szCs w:val="24"/>
        </w:rPr>
        <w:t xml:space="preserve"> %, a temelji se na pretpostavci kontinuiteta obavljanja osnovnih djelatnosti i u 202</w:t>
      </w:r>
      <w:r w:rsidR="00EC369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 godini. Značajna osjetljivost poslovnih prihoda Društva i njihova ovisnost o turističkoj sezoni mora se uzeti u obzir kod planiranju prihoda i rashoda i same dinamike investicija.</w:t>
      </w:r>
    </w:p>
    <w:p w14:paraId="6758D03E" w14:textId="77777777" w:rsidR="00D11D63" w:rsidRDefault="00137FED">
      <w:pP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Sezonski karakter prihoda nužno je uvažiti i kod planiranja rashoda.   </w:t>
      </w:r>
    </w:p>
    <w:p w14:paraId="5539CF69" w14:textId="66C603E3" w:rsidR="00D11D63" w:rsidRDefault="00137FED">
      <w:pP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Činjenica je da trgovačko društvo T</w:t>
      </w:r>
      <w:r w:rsidR="00EC3693">
        <w:rPr>
          <w:color w:val="000000"/>
          <w:sz w:val="24"/>
          <w:szCs w:val="24"/>
        </w:rPr>
        <w:t xml:space="preserve">rogir </w:t>
      </w:r>
      <w:r w:rsidR="00617678">
        <w:rPr>
          <w:color w:val="000000"/>
          <w:sz w:val="24"/>
          <w:szCs w:val="24"/>
        </w:rPr>
        <w:t>holding</w:t>
      </w:r>
      <w:r>
        <w:rPr>
          <w:color w:val="000000"/>
          <w:sz w:val="24"/>
          <w:szCs w:val="24"/>
        </w:rPr>
        <w:t xml:space="preserve"> d.o.o. od mjeseca lipnja do rujna ostvari preko 40% svojih operativnih prihoda. Temeljem ostvarenih rezultata u 202</w:t>
      </w:r>
      <w:r w:rsidR="00EC3693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 godini, a pod pretpostavkom kontinuiteta obavljanja djelatnosti dio investicijskih ciklusa bit će planiran već u prvom kvartalu  poslovne 202</w:t>
      </w:r>
      <w:r w:rsidR="00EC369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godine. </w:t>
      </w:r>
    </w:p>
    <w:p w14:paraId="25D6D6C6" w14:textId="6BB14CD5" w:rsidR="00D11D63" w:rsidRDefault="00137FED">
      <w:pPr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razliku od operativnih prihoda, ukupni prihodi sukladno planu rastu za </w:t>
      </w:r>
      <w:r w:rsidR="00EC3693">
        <w:rPr>
          <w:color w:val="000000"/>
          <w:sz w:val="24"/>
          <w:szCs w:val="24"/>
        </w:rPr>
        <w:t>9,37</w:t>
      </w:r>
      <w:r>
        <w:rPr>
          <w:color w:val="000000"/>
          <w:sz w:val="24"/>
          <w:szCs w:val="24"/>
        </w:rPr>
        <w:t xml:space="preserve"> %, što je  realno očekivanje s obzirom na provedene procese  stabilizacije poslovanja .  </w:t>
      </w:r>
      <w:r w:rsidR="00E86FD5">
        <w:rPr>
          <w:color w:val="000000"/>
          <w:sz w:val="24"/>
          <w:szCs w:val="24"/>
        </w:rPr>
        <w:t>Osim</w:t>
      </w:r>
      <w:r w:rsidR="00EC3693">
        <w:rPr>
          <w:color w:val="000000"/>
          <w:sz w:val="24"/>
          <w:szCs w:val="24"/>
        </w:rPr>
        <w:t xml:space="preserve"> što su smanjenje </w:t>
      </w:r>
      <w:r>
        <w:rPr>
          <w:color w:val="000000"/>
          <w:sz w:val="24"/>
          <w:szCs w:val="24"/>
        </w:rPr>
        <w:t xml:space="preserve">  fluktuacije u naplati potraživanja otpisivanjem spornih, zastarjelih potraživanja i sudskih sporova, naplata nastalih potraživanja se nastoji održati u što kraćim rokovima  . </w:t>
      </w:r>
    </w:p>
    <w:p w14:paraId="3DFA256C" w14:textId="77777777" w:rsidR="00D11D63" w:rsidRDefault="00D11D63">
      <w:pPr>
        <w:contextualSpacing/>
        <w:rPr>
          <w:color w:val="000000"/>
          <w:sz w:val="24"/>
          <w:szCs w:val="24"/>
        </w:rPr>
      </w:pPr>
    </w:p>
    <w:p w14:paraId="407A829E" w14:textId="77777777" w:rsidR="00D11D63" w:rsidRDefault="00137FED">
      <w:pPr>
        <w:pStyle w:val="Naslov3"/>
        <w:numPr>
          <w:ilvl w:val="1"/>
          <w:numId w:val="14"/>
        </w:numPr>
      </w:pPr>
      <w:bookmarkStart w:id="16" w:name="_Toc90294247"/>
      <w:r>
        <w:t>STRUKTURA PRIHODA</w:t>
      </w:r>
      <w:bookmarkEnd w:id="16"/>
    </w:p>
    <w:p w14:paraId="36F1ADD5" w14:textId="216C7B46" w:rsidR="00D11D63" w:rsidRDefault="00137FED">
      <w:pPr>
        <w:tabs>
          <w:tab w:val="left" w:pos="1532"/>
        </w:tabs>
      </w:pPr>
      <w:r>
        <w:rPr>
          <w:sz w:val="24"/>
          <w:szCs w:val="24"/>
        </w:rPr>
        <w:t>Ukupni prihodi za 202</w:t>
      </w:r>
      <w:r w:rsidR="00E86FD5">
        <w:rPr>
          <w:sz w:val="24"/>
          <w:szCs w:val="24"/>
        </w:rPr>
        <w:t>6</w:t>
      </w:r>
      <w:r>
        <w:rPr>
          <w:sz w:val="24"/>
          <w:szCs w:val="24"/>
        </w:rPr>
        <w:t xml:space="preserve">. g. planirani su u iznosu od </w:t>
      </w:r>
      <w:r w:rsidR="00E86FD5">
        <w:rPr>
          <w:rFonts w:eastAsia="Times New Roman"/>
          <w:b/>
          <w:bCs/>
          <w:sz w:val="24"/>
          <w:szCs w:val="24"/>
          <w:lang w:eastAsia="hr-HR"/>
        </w:rPr>
        <w:t>7.008.100,00</w:t>
      </w:r>
      <w:r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hr-HR"/>
        </w:rPr>
        <w:t>EUR</w:t>
      </w:r>
      <w:r>
        <w:rPr>
          <w:sz w:val="24"/>
          <w:szCs w:val="24"/>
        </w:rPr>
        <w:t xml:space="preserve">., od čega </w:t>
      </w:r>
      <w:r w:rsidR="00F928B5">
        <w:rPr>
          <w:sz w:val="24"/>
          <w:szCs w:val="24"/>
        </w:rPr>
        <w:t>prihodi od prodaje proizvoda i usluga</w:t>
      </w:r>
      <w:r>
        <w:rPr>
          <w:sz w:val="24"/>
          <w:szCs w:val="24"/>
        </w:rPr>
        <w:t xml:space="preserve"> iznose </w:t>
      </w:r>
      <w:r w:rsidR="00E86FD5">
        <w:rPr>
          <w:rFonts w:eastAsia="Times New Roman"/>
          <w:b/>
          <w:bCs/>
          <w:sz w:val="24"/>
          <w:szCs w:val="24"/>
          <w:lang w:eastAsia="hr-HR"/>
        </w:rPr>
        <w:t>6.468.100,00</w:t>
      </w:r>
      <w:r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EUR </w:t>
      </w:r>
      <w:r>
        <w:rPr>
          <w:sz w:val="24"/>
          <w:szCs w:val="24"/>
        </w:rPr>
        <w:t>, što čini 9</w:t>
      </w:r>
      <w:r w:rsidR="00E86FD5">
        <w:rPr>
          <w:sz w:val="24"/>
          <w:szCs w:val="24"/>
        </w:rPr>
        <w:t>2,29</w:t>
      </w:r>
      <w:r>
        <w:rPr>
          <w:sz w:val="24"/>
          <w:szCs w:val="24"/>
        </w:rPr>
        <w:t xml:space="preserve"> % ukupno planiranih prihoda.</w:t>
      </w:r>
    </w:p>
    <w:p w14:paraId="70A69453" w14:textId="77777777" w:rsidR="00D11D63" w:rsidRDefault="00137FED">
      <w:pPr>
        <w:tabs>
          <w:tab w:val="left" w:pos="1532"/>
        </w:tabs>
        <w:rPr>
          <w:sz w:val="24"/>
          <w:szCs w:val="24"/>
        </w:rPr>
      </w:pPr>
      <w:r>
        <w:rPr>
          <w:sz w:val="24"/>
          <w:szCs w:val="24"/>
        </w:rPr>
        <w:t xml:space="preserve">Maksimiziranje operativnih prihoda u prethodnom razdoblju u odnosu na ukupne prihode, planira se i u budućim poslovnim razdobljima. </w:t>
      </w:r>
    </w:p>
    <w:p w14:paraId="41952D16" w14:textId="082494E2" w:rsidR="00D11D63" w:rsidRDefault="00137FED">
      <w:pPr>
        <w:pStyle w:val="Naslov3"/>
        <w:numPr>
          <w:ilvl w:val="2"/>
          <w:numId w:val="14"/>
        </w:numPr>
        <w:rPr>
          <w:b/>
          <w:bCs/>
        </w:rPr>
      </w:pPr>
      <w:bookmarkStart w:id="17" w:name="_Toc90294248"/>
      <w:r>
        <w:rPr>
          <w:b/>
          <w:bCs/>
        </w:rPr>
        <w:t xml:space="preserve"> prihodi</w:t>
      </w:r>
      <w:bookmarkEnd w:id="17"/>
      <w:r w:rsidR="00CC03D1">
        <w:rPr>
          <w:b/>
          <w:bCs/>
        </w:rPr>
        <w:t xml:space="preserve"> od prodaje proizvoda i usluga</w:t>
      </w:r>
    </w:p>
    <w:p w14:paraId="7E7062C3" w14:textId="233E1FF5" w:rsidR="00CC03D1" w:rsidRDefault="00CC03D1" w:rsidP="00CC03D1"/>
    <w:tbl>
      <w:tblPr>
        <w:tblW w:w="911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56"/>
        <w:gridCol w:w="4661"/>
        <w:gridCol w:w="1238"/>
        <w:gridCol w:w="1313"/>
        <w:gridCol w:w="1147"/>
      </w:tblGrid>
      <w:tr w:rsidR="00773398" w14:paraId="7BCCF254" w14:textId="77777777" w:rsidTr="00773398">
        <w:trPr>
          <w:trHeight w:val="125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1A68BEBA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POZICIJA PLANA</w:t>
            </w:r>
          </w:p>
        </w:tc>
        <w:tc>
          <w:tcPr>
            <w:tcW w:w="46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3F69B405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P R I H O D I 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552C0479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PROCJENA OSTVARENJA ZA 2025. g.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9CC00" w:fill="auto"/>
          </w:tcPr>
          <w:p w14:paraId="14B47BF0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PLAN ZA 2026.g.                           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14:paraId="6B0361D4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%  PLAN 2026. /PROCJENA OSTVARENJA ZA 2025.g.</w:t>
            </w:r>
          </w:p>
        </w:tc>
      </w:tr>
      <w:tr w:rsidR="00773398" w14:paraId="65AB0284" w14:textId="77777777" w:rsidTr="00773398">
        <w:trPr>
          <w:trHeight w:val="247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00798B83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51E9D1F8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POSLOVANJA: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1228E579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6.407.413,64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9CC00" w:fill="auto"/>
          </w:tcPr>
          <w:p w14:paraId="45F811BF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7.008.100,00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14:paraId="58CDAE77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9,37%</w:t>
            </w:r>
          </w:p>
        </w:tc>
      </w:tr>
      <w:tr w:rsidR="00773398" w14:paraId="476FA42F" w14:textId="77777777" w:rsidTr="00773398">
        <w:trPr>
          <w:trHeight w:val="284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14:paraId="6C8C6262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46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A74109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PRIHODI OD PRODAJE PROIZVODA I USLUGA: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76E4CB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6.015.067,37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9CC00" w:fill="auto"/>
          </w:tcPr>
          <w:p w14:paraId="6B33F026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6.468.100,00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4290C8AE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7,53%</w:t>
            </w:r>
          </w:p>
        </w:tc>
      </w:tr>
      <w:tr w:rsidR="00773398" w14:paraId="38F6A5A9" w14:textId="77777777" w:rsidTr="00773398">
        <w:trPr>
          <w:trHeight w:val="284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A8B46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BAFF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od prikupljanja komunalnog otpada  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95CF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1.450.000,00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726F29D8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1.800.000,00</w:t>
            </w:r>
          </w:p>
        </w:tc>
        <w:tc>
          <w:tcPr>
            <w:tcW w:w="114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DA54938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24,14%</w:t>
            </w:r>
          </w:p>
        </w:tc>
      </w:tr>
      <w:tr w:rsidR="00773398" w14:paraId="27FD8AFB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3E26B3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86DC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parkinga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53A1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1.740.000,00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1C2619B0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1.750.000,00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CB43260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0,57%</w:t>
            </w:r>
          </w:p>
        </w:tc>
      </w:tr>
      <w:tr w:rsidR="00773398" w14:paraId="2730A5F3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98DA2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6083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tržnice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4133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435.000,00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204C49E7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510.000,00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9BBDD97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17,24%</w:t>
            </w:r>
          </w:p>
        </w:tc>
      </w:tr>
      <w:tr w:rsidR="00773398" w14:paraId="42E2C762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B28AE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670B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Gradskog radija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BD94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75B2B386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39E16EF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25,00%</w:t>
            </w:r>
          </w:p>
        </w:tc>
      </w:tr>
      <w:tr w:rsidR="00773398" w14:paraId="711D13D3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7DE69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1385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pauka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CA0D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651554EC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E67D9D7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17,65%</w:t>
            </w:r>
          </w:p>
        </w:tc>
      </w:tr>
      <w:tr w:rsidR="00773398" w14:paraId="1BFF2F95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E7646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0F35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režije u najmu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2B6F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184F3098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11.500,00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10806F2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43,75%</w:t>
            </w:r>
          </w:p>
        </w:tc>
      </w:tr>
      <w:tr w:rsidR="00773398" w14:paraId="361BE3E4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12D6A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FD86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ribarnice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B220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679F7B85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C528DEE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11,11%</w:t>
            </w:r>
          </w:p>
        </w:tc>
      </w:tr>
      <w:tr w:rsidR="00773398" w14:paraId="5EE32A1F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026231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CCC3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deponija+zemlja iz iskopa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4250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5A6DB900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E5F08D8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-55,00%</w:t>
            </w:r>
          </w:p>
        </w:tc>
      </w:tr>
      <w:tr w:rsidR="00773398" w14:paraId="32EAB445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3D76E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6D95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grobne naknade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9FB5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36.315,37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776FAD87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55.600,00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2611EE3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53,10%</w:t>
            </w:r>
          </w:p>
        </w:tc>
      </w:tr>
      <w:tr w:rsidR="00773398" w14:paraId="17028CC7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1291AE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BF83" w14:textId="3AA25FB5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groblja (</w:t>
            </w:r>
            <w:r w:rsidR="00E86FD5">
              <w:rPr>
                <w:rFonts w:cs="Calibri"/>
                <w:color w:val="000000"/>
                <w:sz w:val="18"/>
                <w:szCs w:val="18"/>
              </w:rPr>
              <w:t>ukopi</w:t>
            </w:r>
            <w:r>
              <w:rPr>
                <w:rFonts w:cs="Calibri"/>
                <w:color w:val="000000"/>
                <w:sz w:val="18"/>
                <w:szCs w:val="18"/>
              </w:rPr>
              <w:t>,prijenos vlas.)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F5CE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1D48CB5C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CAE5514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37,93%</w:t>
            </w:r>
          </w:p>
        </w:tc>
      </w:tr>
      <w:tr w:rsidR="00773398" w14:paraId="764A076F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F5DB9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5B39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čistačica- uslužna djelatnost ( SCT…)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6B74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31322180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B3BF59A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-88,89%</w:t>
            </w:r>
          </w:p>
        </w:tc>
      </w:tr>
      <w:tr w:rsidR="00773398" w14:paraId="39C77410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C1C25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3CC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 ostalo 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CE01B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7A5E5215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F7FED83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25,00%</w:t>
            </w:r>
          </w:p>
        </w:tc>
      </w:tr>
      <w:tr w:rsidR="00773398" w14:paraId="0B0BA46A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C4981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9C79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lučkih pristojbi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BA27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7E514F18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0543F43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0,00%</w:t>
            </w:r>
          </w:p>
        </w:tc>
      </w:tr>
      <w:tr w:rsidR="00773398" w14:paraId="5F189411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F3D64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F8B9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lučkih djelatnosti -otpad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B16B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28.752,00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2B4F120A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373DE01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-100,00%</w:t>
            </w:r>
          </w:p>
        </w:tc>
      </w:tr>
      <w:tr w:rsidR="00773398" w14:paraId="4838B1BA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549DC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5629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 od Jadrolinije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498C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2AC75401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BEE8387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0,00%</w:t>
            </w:r>
          </w:p>
        </w:tc>
      </w:tr>
      <w:tr w:rsidR="00773398" w14:paraId="29BFFD5D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704B0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9ECB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reciklažnog dvorišta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96D4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65.000,00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06022EFE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CD16FF0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7,69%</w:t>
            </w:r>
          </w:p>
        </w:tc>
      </w:tr>
      <w:tr w:rsidR="00773398" w14:paraId="12ABED3B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7B4F2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91CA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preuzimanja ambalaže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BF1D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54DE6F03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45597C2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33,33%</w:t>
            </w:r>
          </w:p>
        </w:tc>
      </w:tr>
      <w:tr w:rsidR="00773398" w14:paraId="39101FF6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B8BEBB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0505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javnih WC-a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8AC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43999FBE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7920D2B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0,00%</w:t>
            </w:r>
          </w:p>
        </w:tc>
      </w:tr>
      <w:tr w:rsidR="00773398" w14:paraId="1EDD5645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6E53A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B923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od groblja ( održavanje)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01A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0920CDDD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A8657A6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40,00%</w:t>
            </w:r>
          </w:p>
        </w:tc>
      </w:tr>
      <w:tr w:rsidR="00773398" w14:paraId="73146AFD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35C2D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EC49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 gradsko zelenilo 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805C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72D55370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625.000,00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CEEE000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4,17%</w:t>
            </w:r>
          </w:p>
        </w:tc>
      </w:tr>
      <w:tr w:rsidR="00773398" w14:paraId="6FFE2E1E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96A03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E9E8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 javna rasvjeta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23A8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733A843F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6F06923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41,67%</w:t>
            </w:r>
          </w:p>
        </w:tc>
      </w:tr>
      <w:tr w:rsidR="00773398" w14:paraId="224A9F14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C1CE7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81E3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 čistači JPP 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D59A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4CFB63C4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32F227A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32,35%</w:t>
            </w:r>
          </w:p>
        </w:tc>
      </w:tr>
      <w:tr w:rsidR="00773398" w14:paraId="1F9CF3E1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C5864D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F1D" w14:textId="1650C7E6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 od održav</w:t>
            </w:r>
            <w:r w:rsidR="00E86FD5">
              <w:rPr>
                <w:rFonts w:cs="Calibri"/>
                <w:color w:val="000000"/>
                <w:sz w:val="18"/>
                <w:szCs w:val="18"/>
              </w:rPr>
              <w:t>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nja JPP 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AEE3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19803546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6888D2D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0,00%</w:t>
            </w:r>
          </w:p>
        </w:tc>
      </w:tr>
      <w:tr w:rsidR="00773398" w14:paraId="3491FD73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4D43B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BEF0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 ostalo Grad (ost.usl.)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DF6C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426AEABB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ABBE020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0,00%</w:t>
            </w:r>
          </w:p>
        </w:tc>
      </w:tr>
      <w:tr w:rsidR="00773398" w14:paraId="2BACF057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4E5BD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7002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od održavanja oborinskih kanala 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C93B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18E3A15F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FB2712E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58,82%</w:t>
            </w:r>
          </w:p>
        </w:tc>
      </w:tr>
      <w:tr w:rsidR="00773398" w14:paraId="12EF8ABF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D128C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4FA3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od blagdanskog ukrašavanja grada 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04B2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72.000,00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7B81EA64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72.000,00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209F457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0,00%</w:t>
            </w:r>
          </w:p>
        </w:tc>
      </w:tr>
      <w:tr w:rsidR="00773398" w14:paraId="010EE954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AA6C66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4292" w14:textId="74433592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sanacije divljih depon</w:t>
            </w:r>
            <w:r w:rsidR="00E86FD5">
              <w:rPr>
                <w:rFonts w:cs="Calibri"/>
                <w:color w:val="000000"/>
                <w:sz w:val="18"/>
                <w:szCs w:val="18"/>
              </w:rPr>
              <w:t>ija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B9BF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7045C500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3FA3916D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14,29%</w:t>
            </w:r>
          </w:p>
        </w:tc>
      </w:tr>
      <w:tr w:rsidR="00773398" w14:paraId="54A18BEE" w14:textId="77777777" w:rsidTr="00773398">
        <w:trPr>
          <w:trHeight w:val="28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9F01E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7601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zakupa prostora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F82B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33F145B7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A0C4AE2" w14:textId="77777777" w:rsidR="00773398" w:rsidRDefault="00773398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0,00%</w:t>
            </w:r>
          </w:p>
        </w:tc>
      </w:tr>
    </w:tbl>
    <w:p w14:paraId="2561CD11" w14:textId="25F33B3A" w:rsidR="00D11D63" w:rsidRPr="00DE777C" w:rsidRDefault="00137FED" w:rsidP="00DE777C">
      <w:pPr>
        <w:pStyle w:val="Opisslike"/>
      </w:pPr>
      <w:r>
        <w:t xml:space="preserve">Tablica II </w:t>
      </w:r>
      <w:r>
        <w:rPr>
          <w:b w:val="0"/>
          <w:bCs w:val="0"/>
          <w:i/>
          <w:iCs/>
        </w:rPr>
        <w:t xml:space="preserve">plan </w:t>
      </w:r>
      <w:r w:rsidR="00DE777C"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</w:rPr>
        <w:t xml:space="preserve">  prihoda</w:t>
      </w:r>
      <w:r w:rsidR="00DE777C">
        <w:rPr>
          <w:b w:val="0"/>
          <w:bCs w:val="0"/>
          <w:i/>
          <w:iCs/>
        </w:rPr>
        <w:t xml:space="preserve"> od prodaje proizvoda i usluga </w:t>
      </w:r>
      <w:r>
        <w:rPr>
          <w:b w:val="0"/>
          <w:bCs w:val="0"/>
          <w:i/>
          <w:iCs/>
        </w:rPr>
        <w:t xml:space="preserve"> za 202</w:t>
      </w:r>
      <w:r w:rsidR="00DE777C">
        <w:rPr>
          <w:b w:val="0"/>
          <w:bCs w:val="0"/>
          <w:i/>
          <w:iCs/>
        </w:rPr>
        <w:t>6</w:t>
      </w:r>
      <w:r>
        <w:rPr>
          <w:b w:val="0"/>
          <w:bCs w:val="0"/>
          <w:i/>
          <w:iCs/>
        </w:rPr>
        <w:t>.g.</w:t>
      </w:r>
    </w:p>
    <w:p w14:paraId="37C1A716" w14:textId="35A1C0C6" w:rsidR="00D11D63" w:rsidRDefault="00137FED" w:rsidP="007F5546">
      <w:pPr>
        <w:pStyle w:val="Opisslike"/>
        <w:spacing w:after="0"/>
        <w:rPr>
          <w:b w:val="0"/>
          <w:bCs w:val="0"/>
          <w:i/>
          <w:iCs/>
          <w:sz w:val="24"/>
          <w:szCs w:val="24"/>
        </w:rPr>
      </w:pPr>
      <w:bookmarkStart w:id="18" w:name="_Toc89859700"/>
      <w:bookmarkStart w:id="19" w:name="_Toc89861038"/>
      <w:bookmarkStart w:id="20" w:name="_Toc90294335"/>
      <w:r w:rsidRPr="00DE777C">
        <w:rPr>
          <w:b w:val="0"/>
          <w:bCs w:val="0"/>
          <w:i/>
          <w:iCs/>
          <w:sz w:val="24"/>
          <w:szCs w:val="24"/>
        </w:rPr>
        <w:t>Struktura</w:t>
      </w:r>
      <w:r w:rsidR="00DE777C">
        <w:rPr>
          <w:b w:val="0"/>
          <w:bCs w:val="0"/>
          <w:i/>
          <w:iCs/>
          <w:sz w:val="24"/>
          <w:szCs w:val="24"/>
        </w:rPr>
        <w:t xml:space="preserve"> </w:t>
      </w:r>
      <w:r w:rsidR="00DE777C" w:rsidRPr="00DE777C">
        <w:rPr>
          <w:b w:val="0"/>
          <w:bCs w:val="0"/>
          <w:i/>
          <w:iCs/>
          <w:sz w:val="24"/>
          <w:szCs w:val="24"/>
        </w:rPr>
        <w:t xml:space="preserve"> </w:t>
      </w:r>
      <w:r w:rsidR="007F5546">
        <w:rPr>
          <w:b w:val="0"/>
          <w:bCs w:val="0"/>
          <w:i/>
          <w:iCs/>
          <w:sz w:val="24"/>
          <w:szCs w:val="24"/>
        </w:rPr>
        <w:t xml:space="preserve">GLAVNIH </w:t>
      </w:r>
      <w:r w:rsidR="00DE777C">
        <w:rPr>
          <w:b w:val="0"/>
          <w:bCs w:val="0"/>
          <w:i/>
          <w:iCs/>
          <w:sz w:val="24"/>
          <w:szCs w:val="24"/>
        </w:rPr>
        <w:t xml:space="preserve"> PRIHODA </w:t>
      </w:r>
      <w:bookmarkEnd w:id="18"/>
      <w:bookmarkEnd w:id="19"/>
      <w:bookmarkEnd w:id="20"/>
      <w:r w:rsidR="00DE777C">
        <w:rPr>
          <w:b w:val="0"/>
          <w:bCs w:val="0"/>
          <w:i/>
          <w:iCs/>
          <w:sz w:val="24"/>
          <w:szCs w:val="24"/>
        </w:rPr>
        <w:t>:</w:t>
      </w:r>
    </w:p>
    <w:p w14:paraId="355AD3D9" w14:textId="77777777" w:rsidR="00773398" w:rsidRPr="00DE777C" w:rsidRDefault="00773398" w:rsidP="00773398">
      <w:pPr>
        <w:pStyle w:val="Odlomakpopisa"/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DE777C">
        <w:rPr>
          <w:rFonts w:eastAsia="Times New Roman"/>
          <w:sz w:val="24"/>
          <w:szCs w:val="24"/>
          <w:lang w:eastAsia="hr-HR"/>
        </w:rPr>
        <w:t>Prihodi od parkinga                                                                   27,06 %</w:t>
      </w:r>
    </w:p>
    <w:p w14:paraId="497D4D72" w14:textId="5AF3ACEF" w:rsidR="00DE777C" w:rsidRPr="00DE777C" w:rsidRDefault="00DE777C" w:rsidP="00DE777C">
      <w:pPr>
        <w:pStyle w:val="Odlomakpopisa"/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DE777C">
        <w:rPr>
          <w:rFonts w:eastAsia="Times New Roman"/>
          <w:sz w:val="24"/>
          <w:szCs w:val="24"/>
          <w:lang w:eastAsia="hr-HR"/>
        </w:rPr>
        <w:t>Prihodi od prikupljanja komunalnog otpada                        27,83 %</w:t>
      </w:r>
    </w:p>
    <w:p w14:paraId="10E809BC" w14:textId="3D020957" w:rsidR="00DE777C" w:rsidRPr="00DE777C" w:rsidRDefault="00DE777C" w:rsidP="00DE777C">
      <w:pPr>
        <w:pStyle w:val="Odlomakpopisa"/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DE777C">
        <w:rPr>
          <w:rFonts w:eastAsia="Times New Roman"/>
          <w:sz w:val="24"/>
          <w:szCs w:val="24"/>
          <w:lang w:eastAsia="hr-HR"/>
        </w:rPr>
        <w:t xml:space="preserve">Prihodi od  programa </w:t>
      </w:r>
      <w:r w:rsidR="00E86FD5">
        <w:rPr>
          <w:rFonts w:eastAsia="Times New Roman"/>
          <w:sz w:val="24"/>
          <w:szCs w:val="24"/>
          <w:lang w:eastAsia="hr-HR"/>
        </w:rPr>
        <w:t xml:space="preserve">održavanja </w:t>
      </w:r>
      <w:r w:rsidRPr="00DE777C">
        <w:rPr>
          <w:rFonts w:eastAsia="Times New Roman"/>
          <w:sz w:val="24"/>
          <w:szCs w:val="24"/>
          <w:lang w:eastAsia="hr-HR"/>
        </w:rPr>
        <w:t>Grada                                28,74 %</w:t>
      </w:r>
    </w:p>
    <w:p w14:paraId="3AB7D4DD" w14:textId="10846289" w:rsidR="00DE777C" w:rsidRPr="00DE777C" w:rsidRDefault="00DE777C" w:rsidP="00DE777C">
      <w:pPr>
        <w:pStyle w:val="Odlomakpopisa"/>
        <w:numPr>
          <w:ilvl w:val="0"/>
          <w:numId w:val="24"/>
        </w:num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DE777C">
        <w:rPr>
          <w:rFonts w:eastAsia="Times New Roman"/>
          <w:sz w:val="24"/>
          <w:szCs w:val="24"/>
          <w:lang w:eastAsia="hr-HR"/>
        </w:rPr>
        <w:t xml:space="preserve">Prihodi ostalo                                                                             16,37%                         </w:t>
      </w:r>
    </w:p>
    <w:p w14:paraId="1B33C61E" w14:textId="77777777" w:rsidR="00D11D63" w:rsidRDefault="00D11D63">
      <w:pPr>
        <w:contextualSpacing/>
        <w:rPr>
          <w:sz w:val="24"/>
          <w:szCs w:val="24"/>
        </w:rPr>
      </w:pPr>
    </w:p>
    <w:p w14:paraId="7CA4E37F" w14:textId="77777777" w:rsidR="00EC3693" w:rsidRDefault="00137FE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Kako je vidljivo Društvo u slijedećoj godini planira da u strukturi </w:t>
      </w:r>
      <w:r w:rsidR="007F5546">
        <w:rPr>
          <w:sz w:val="24"/>
          <w:szCs w:val="24"/>
        </w:rPr>
        <w:t xml:space="preserve">glavnih </w:t>
      </w:r>
      <w:r>
        <w:rPr>
          <w:sz w:val="24"/>
          <w:szCs w:val="24"/>
        </w:rPr>
        <w:t>prihoda</w:t>
      </w:r>
      <w:r w:rsidR="00773398">
        <w:rPr>
          <w:sz w:val="24"/>
          <w:szCs w:val="24"/>
        </w:rPr>
        <w:t>:</w:t>
      </w:r>
      <w:r>
        <w:rPr>
          <w:sz w:val="24"/>
          <w:szCs w:val="24"/>
        </w:rPr>
        <w:t xml:space="preserve"> pr</w:t>
      </w:r>
      <w:r w:rsidR="00773398">
        <w:rPr>
          <w:sz w:val="24"/>
          <w:szCs w:val="24"/>
        </w:rPr>
        <w:t>i</w:t>
      </w:r>
      <w:r>
        <w:rPr>
          <w:sz w:val="24"/>
          <w:szCs w:val="24"/>
        </w:rPr>
        <w:t xml:space="preserve">hodi od parkinga, prihodi od prikupljanja komunalnog otpada i prihodi od </w:t>
      </w:r>
      <w:r w:rsidR="00773398">
        <w:rPr>
          <w:sz w:val="24"/>
          <w:szCs w:val="24"/>
        </w:rPr>
        <w:t xml:space="preserve">održavanja programa </w:t>
      </w:r>
      <w:r>
        <w:rPr>
          <w:sz w:val="24"/>
          <w:szCs w:val="24"/>
        </w:rPr>
        <w:t xml:space="preserve">Grada čine </w:t>
      </w:r>
      <w:r w:rsidR="00773398">
        <w:rPr>
          <w:sz w:val="24"/>
          <w:szCs w:val="24"/>
        </w:rPr>
        <w:t xml:space="preserve">83,63% </w:t>
      </w:r>
      <w:r>
        <w:rPr>
          <w:sz w:val="24"/>
          <w:szCs w:val="24"/>
        </w:rPr>
        <w:t xml:space="preserve"> ukupnih prihoda u otprilike jednakim omjerima. </w:t>
      </w:r>
    </w:p>
    <w:p w14:paraId="2C443F8C" w14:textId="5A51C091" w:rsidR="00D11D63" w:rsidRPr="00EC3693" w:rsidRDefault="00EC3693" w:rsidP="00EC3693">
      <w:pPr>
        <w:spacing w:after="0"/>
      </w:pPr>
      <w:r>
        <w:rPr>
          <w:sz w:val="24"/>
          <w:szCs w:val="24"/>
        </w:rPr>
        <w:t xml:space="preserve">Prihod od prikupljanja komunalnog otpada planiran u iznosu od </w:t>
      </w:r>
      <w:r>
        <w:rPr>
          <w:rFonts w:eastAsia="Times New Roman"/>
          <w:sz w:val="24"/>
          <w:szCs w:val="24"/>
          <w:lang w:eastAsia="hr-HR"/>
        </w:rPr>
        <w:t xml:space="preserve">1.800.000,00 </w:t>
      </w:r>
      <w:r>
        <w:rPr>
          <w:rFonts w:eastAsia="Times New Roman" w:cs="Calibri"/>
          <w:sz w:val="24"/>
          <w:szCs w:val="24"/>
          <w:lang w:eastAsia="hr-HR"/>
        </w:rPr>
        <w:t>EUR</w:t>
      </w:r>
      <w:r>
        <w:rPr>
          <w:sz w:val="24"/>
          <w:szCs w:val="24"/>
        </w:rPr>
        <w:t>, u strukturi prihoda od prodaje  u 2026. godini činit će i nadalje jedan od vodećih prihoda u ukupnoj strukturi  prihoda od prodaje ili  27,83 % .</w:t>
      </w:r>
      <w:r w:rsidR="00137FED">
        <w:rPr>
          <w:sz w:val="24"/>
          <w:szCs w:val="24"/>
        </w:rPr>
        <w:t xml:space="preserve">To je rezultat činjenice da </w:t>
      </w:r>
      <w:r w:rsidR="007F5546">
        <w:rPr>
          <w:sz w:val="24"/>
          <w:szCs w:val="24"/>
        </w:rPr>
        <w:t xml:space="preserve"> se prihod od</w:t>
      </w:r>
      <w:r w:rsidR="00137FED">
        <w:rPr>
          <w:sz w:val="24"/>
          <w:szCs w:val="24"/>
        </w:rPr>
        <w:t xml:space="preserve"> prikupljanja komunalnog otpada </w:t>
      </w:r>
      <w:r w:rsidR="007F5546">
        <w:rPr>
          <w:sz w:val="24"/>
          <w:szCs w:val="24"/>
        </w:rPr>
        <w:t xml:space="preserve">planira povećati za 24,14 % i to zbog izmjene cjenika za prikupljanje miješanog </w:t>
      </w:r>
      <w:r>
        <w:rPr>
          <w:sz w:val="24"/>
          <w:szCs w:val="24"/>
        </w:rPr>
        <w:t>komunalnog</w:t>
      </w:r>
      <w:r w:rsidR="007F5546">
        <w:rPr>
          <w:sz w:val="24"/>
          <w:szCs w:val="24"/>
        </w:rPr>
        <w:t xml:space="preserve"> otpada nakon 2023. godine </w:t>
      </w:r>
      <w:r w:rsidR="00773398">
        <w:rPr>
          <w:sz w:val="24"/>
          <w:szCs w:val="24"/>
        </w:rPr>
        <w:t>,</w:t>
      </w:r>
      <w:r w:rsidR="00137FED">
        <w:rPr>
          <w:sz w:val="24"/>
          <w:szCs w:val="24"/>
        </w:rPr>
        <w:t xml:space="preserve"> dok </w:t>
      </w:r>
      <w:r w:rsidR="007F5546">
        <w:rPr>
          <w:sz w:val="24"/>
          <w:szCs w:val="24"/>
        </w:rPr>
        <w:t>su prihodi od</w:t>
      </w:r>
      <w:r w:rsidR="00137FED">
        <w:rPr>
          <w:sz w:val="24"/>
          <w:szCs w:val="24"/>
        </w:rPr>
        <w:t xml:space="preserve"> Program</w:t>
      </w:r>
      <w:r w:rsidR="00E86FD5">
        <w:rPr>
          <w:sz w:val="24"/>
          <w:szCs w:val="24"/>
        </w:rPr>
        <w:t>a održavanja</w:t>
      </w:r>
      <w:r w:rsidR="00137FED">
        <w:rPr>
          <w:sz w:val="24"/>
          <w:szCs w:val="24"/>
        </w:rPr>
        <w:t xml:space="preserve"> Grada povećan</w:t>
      </w:r>
      <w:r w:rsidR="007F5546">
        <w:rPr>
          <w:sz w:val="24"/>
          <w:szCs w:val="24"/>
        </w:rPr>
        <w:t xml:space="preserve">i </w:t>
      </w:r>
      <w:r w:rsidR="00137FED">
        <w:rPr>
          <w:sz w:val="24"/>
          <w:szCs w:val="24"/>
        </w:rPr>
        <w:t>kako u dijelu povećanja  opseg</w:t>
      </w:r>
      <w:r w:rsidR="007F5546">
        <w:rPr>
          <w:sz w:val="24"/>
          <w:szCs w:val="24"/>
        </w:rPr>
        <w:t>a</w:t>
      </w:r>
      <w:r w:rsidR="00137FED">
        <w:rPr>
          <w:sz w:val="24"/>
          <w:szCs w:val="24"/>
        </w:rPr>
        <w:t xml:space="preserve"> posla i u dijelu cijene rada s obzirom da </w:t>
      </w:r>
      <w:r w:rsidR="00773398">
        <w:rPr>
          <w:sz w:val="24"/>
          <w:szCs w:val="24"/>
        </w:rPr>
        <w:t xml:space="preserve">je </w:t>
      </w:r>
      <w:r w:rsidR="007F5546">
        <w:rPr>
          <w:sz w:val="24"/>
          <w:szCs w:val="24"/>
        </w:rPr>
        <w:t>u</w:t>
      </w:r>
      <w:r w:rsidR="00773398">
        <w:rPr>
          <w:sz w:val="24"/>
          <w:szCs w:val="24"/>
        </w:rPr>
        <w:t xml:space="preserve"> 2026. godini planirano povećanje</w:t>
      </w:r>
      <w:r w:rsidR="007F5546">
        <w:rPr>
          <w:sz w:val="24"/>
          <w:szCs w:val="24"/>
        </w:rPr>
        <w:t xml:space="preserve"> troškova</w:t>
      </w:r>
      <w:r w:rsidR="00773398">
        <w:rPr>
          <w:sz w:val="24"/>
          <w:szCs w:val="24"/>
        </w:rPr>
        <w:t xml:space="preserve"> mase pla</w:t>
      </w:r>
      <w:r w:rsidR="007F5546">
        <w:rPr>
          <w:sz w:val="24"/>
          <w:szCs w:val="24"/>
        </w:rPr>
        <w:t>ć</w:t>
      </w:r>
      <w:r w:rsidR="00773398">
        <w:rPr>
          <w:sz w:val="24"/>
          <w:szCs w:val="24"/>
        </w:rPr>
        <w:t xml:space="preserve">a za </w:t>
      </w:r>
      <w:r w:rsidR="007F5546">
        <w:rPr>
          <w:sz w:val="24"/>
          <w:szCs w:val="24"/>
        </w:rPr>
        <w:t xml:space="preserve">oko </w:t>
      </w:r>
      <w:r w:rsidR="00773398">
        <w:rPr>
          <w:sz w:val="24"/>
          <w:szCs w:val="24"/>
        </w:rPr>
        <w:t>10,00 %.</w:t>
      </w:r>
    </w:p>
    <w:p w14:paraId="51469EBF" w14:textId="5AECDA02" w:rsidR="00D11D63" w:rsidRDefault="00EC3693">
      <w:pPr>
        <w:contextualSpacing/>
      </w:pPr>
      <w:r>
        <w:rPr>
          <w:sz w:val="24"/>
          <w:szCs w:val="24"/>
        </w:rPr>
        <w:t>P</w:t>
      </w:r>
      <w:r w:rsidR="00137FED">
        <w:rPr>
          <w:sz w:val="24"/>
          <w:szCs w:val="24"/>
        </w:rPr>
        <w:t>rihod od</w:t>
      </w:r>
      <w:r w:rsidR="00A66F28">
        <w:rPr>
          <w:sz w:val="24"/>
          <w:szCs w:val="24"/>
        </w:rPr>
        <w:t xml:space="preserve"> parkinga </w:t>
      </w:r>
      <w:r>
        <w:rPr>
          <w:sz w:val="24"/>
          <w:szCs w:val="24"/>
        </w:rPr>
        <w:t xml:space="preserve">je planiran </w:t>
      </w:r>
      <w:r w:rsidR="00A66F28">
        <w:rPr>
          <w:sz w:val="24"/>
          <w:szCs w:val="24"/>
        </w:rPr>
        <w:t>od</w:t>
      </w:r>
      <w:r w:rsidR="00137FED">
        <w:rPr>
          <w:sz w:val="24"/>
          <w:szCs w:val="24"/>
        </w:rPr>
        <w:t xml:space="preserve"> 1.</w:t>
      </w:r>
      <w:r w:rsidR="00A66F28">
        <w:rPr>
          <w:sz w:val="24"/>
          <w:szCs w:val="24"/>
        </w:rPr>
        <w:t>75</w:t>
      </w:r>
      <w:r w:rsidR="00137FED">
        <w:rPr>
          <w:rFonts w:eastAsia="Times New Roman"/>
          <w:sz w:val="24"/>
          <w:szCs w:val="24"/>
          <w:lang w:eastAsia="hr-HR"/>
        </w:rPr>
        <w:t xml:space="preserve">0.000,00 </w:t>
      </w:r>
      <w:r w:rsidR="00137FED">
        <w:rPr>
          <w:sz w:val="24"/>
          <w:szCs w:val="24"/>
        </w:rPr>
        <w:t>EUR-a odnosno 2</w:t>
      </w:r>
      <w:r w:rsidR="00A66F28">
        <w:rPr>
          <w:sz w:val="24"/>
          <w:szCs w:val="24"/>
        </w:rPr>
        <w:t>7,06</w:t>
      </w:r>
      <w:r w:rsidR="00137FED">
        <w:rPr>
          <w:sz w:val="24"/>
          <w:szCs w:val="24"/>
        </w:rPr>
        <w:t xml:space="preserve"> % od ukupnih </w:t>
      </w:r>
      <w:r w:rsidR="00773398">
        <w:rPr>
          <w:sz w:val="24"/>
          <w:szCs w:val="24"/>
        </w:rPr>
        <w:t>prihoda od prodaje prihoda</w:t>
      </w:r>
      <w:r w:rsidR="00137FED">
        <w:rPr>
          <w:sz w:val="24"/>
          <w:szCs w:val="24"/>
        </w:rPr>
        <w:t xml:space="preserve">  sukladno planu za 202</w:t>
      </w:r>
      <w:r w:rsidR="00773398">
        <w:rPr>
          <w:sz w:val="24"/>
          <w:szCs w:val="24"/>
        </w:rPr>
        <w:t>6</w:t>
      </w:r>
      <w:r w:rsidR="00137FED">
        <w:rPr>
          <w:sz w:val="24"/>
          <w:szCs w:val="24"/>
        </w:rPr>
        <w:t>.</w:t>
      </w:r>
      <w:r>
        <w:rPr>
          <w:sz w:val="24"/>
          <w:szCs w:val="24"/>
        </w:rPr>
        <w:t>godinu.</w:t>
      </w:r>
      <w:r w:rsidR="00137FED">
        <w:rPr>
          <w:sz w:val="24"/>
          <w:szCs w:val="24"/>
        </w:rPr>
        <w:t xml:space="preserve"> </w:t>
      </w:r>
    </w:p>
    <w:p w14:paraId="77EF31D3" w14:textId="0413C68C" w:rsidR="00D11D63" w:rsidRDefault="00137FED">
      <w:r>
        <w:rPr>
          <w:sz w:val="24"/>
          <w:szCs w:val="24"/>
        </w:rPr>
        <w:t>Prihodi iz Programa održavanja Grada, sukladno prijedlogu gradskog proračuna čine 2</w:t>
      </w:r>
      <w:r w:rsidR="00A66F28">
        <w:rPr>
          <w:sz w:val="24"/>
          <w:szCs w:val="24"/>
        </w:rPr>
        <w:t>8,74</w:t>
      </w:r>
      <w:r>
        <w:rPr>
          <w:sz w:val="24"/>
          <w:szCs w:val="24"/>
        </w:rPr>
        <w:t xml:space="preserve"> % ukupne strukture  prihoda </w:t>
      </w:r>
      <w:r w:rsidR="00A66F28">
        <w:rPr>
          <w:sz w:val="24"/>
          <w:szCs w:val="24"/>
        </w:rPr>
        <w:t xml:space="preserve">od prodaje </w:t>
      </w:r>
      <w:r>
        <w:rPr>
          <w:sz w:val="24"/>
          <w:szCs w:val="24"/>
        </w:rPr>
        <w:t>za 202</w:t>
      </w:r>
      <w:r w:rsidR="00A66F28">
        <w:rPr>
          <w:sz w:val="24"/>
          <w:szCs w:val="24"/>
        </w:rPr>
        <w:t>6</w:t>
      </w:r>
      <w:r>
        <w:rPr>
          <w:sz w:val="24"/>
          <w:szCs w:val="24"/>
        </w:rPr>
        <w:t>. godinu.</w:t>
      </w:r>
    </w:p>
    <w:p w14:paraId="2E575694" w14:textId="3F88187A" w:rsidR="00D11D63" w:rsidRDefault="00137FED">
      <w:pPr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Planirano povećanje  prihoda </w:t>
      </w:r>
      <w:r w:rsidR="00A66F28">
        <w:rPr>
          <w:sz w:val="24"/>
          <w:szCs w:val="24"/>
        </w:rPr>
        <w:t xml:space="preserve"> od</w:t>
      </w:r>
      <w:r w:rsidR="00EC3693">
        <w:rPr>
          <w:sz w:val="24"/>
          <w:szCs w:val="24"/>
        </w:rPr>
        <w:t xml:space="preserve"> </w:t>
      </w:r>
      <w:r w:rsidR="00A66F28">
        <w:rPr>
          <w:sz w:val="24"/>
          <w:szCs w:val="24"/>
        </w:rPr>
        <w:t>prodaje</w:t>
      </w:r>
      <w:r w:rsidR="00EC3693">
        <w:rPr>
          <w:sz w:val="24"/>
          <w:szCs w:val="24"/>
        </w:rPr>
        <w:t xml:space="preserve"> </w:t>
      </w:r>
      <w:r w:rsidR="00A66F28">
        <w:rPr>
          <w:sz w:val="24"/>
          <w:szCs w:val="24"/>
        </w:rPr>
        <w:t xml:space="preserve">proizvoda i usluga </w:t>
      </w:r>
      <w:r>
        <w:rPr>
          <w:sz w:val="24"/>
          <w:szCs w:val="24"/>
        </w:rPr>
        <w:t>sukladno Planu  za 202</w:t>
      </w:r>
      <w:r w:rsidR="00A66F28">
        <w:rPr>
          <w:sz w:val="24"/>
          <w:szCs w:val="24"/>
        </w:rPr>
        <w:t>6</w:t>
      </w:r>
      <w:r>
        <w:rPr>
          <w:sz w:val="24"/>
          <w:szCs w:val="24"/>
        </w:rPr>
        <w:t xml:space="preserve">. godinu iznosi </w:t>
      </w:r>
      <w:r w:rsidR="00A66F28">
        <w:rPr>
          <w:sz w:val="24"/>
          <w:szCs w:val="24"/>
        </w:rPr>
        <w:t>7,53</w:t>
      </w:r>
      <w:r>
        <w:rPr>
          <w:sz w:val="24"/>
          <w:szCs w:val="24"/>
        </w:rPr>
        <w:t xml:space="preserve"> %, velikim dijelom se temelji na planiranom povećanju u stavkama prihoda iz programa održavanja komunalne infrastrukture na području Grada koja je posljednjih godina znatno uređena i obnovljena.</w:t>
      </w:r>
    </w:p>
    <w:p w14:paraId="2C6351BF" w14:textId="5084BF9A" w:rsidR="00D11D63" w:rsidRPr="00A66F28" w:rsidRDefault="00137FE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66F28">
        <w:rPr>
          <w:sz w:val="24"/>
          <w:szCs w:val="24"/>
        </w:rPr>
        <w:t xml:space="preserve">Važno je za naglasiti da </w:t>
      </w:r>
      <w:r w:rsidR="00573A83">
        <w:rPr>
          <w:sz w:val="24"/>
          <w:szCs w:val="24"/>
        </w:rPr>
        <w:t xml:space="preserve">je </w:t>
      </w:r>
      <w:r w:rsidR="00A66F28">
        <w:rPr>
          <w:sz w:val="24"/>
          <w:szCs w:val="24"/>
        </w:rPr>
        <w:t>stavka prihoda od deponija je za 2026. godinu planirana u umanjenom iznosu za 55,00 %</w:t>
      </w:r>
      <w:r w:rsidR="00E86FD5">
        <w:rPr>
          <w:sz w:val="24"/>
          <w:szCs w:val="24"/>
        </w:rPr>
        <w:t xml:space="preserve"> u odnosu na 2025. godinu,</w:t>
      </w:r>
      <w:r w:rsidR="00A66F28">
        <w:rPr>
          <w:sz w:val="24"/>
          <w:szCs w:val="24"/>
        </w:rPr>
        <w:t xml:space="preserve"> što je razlog popunjenosti kapaciteta odlagališta što može pred</w:t>
      </w:r>
      <w:r w:rsidR="00E86FD5">
        <w:rPr>
          <w:sz w:val="24"/>
          <w:szCs w:val="24"/>
        </w:rPr>
        <w:t>s</w:t>
      </w:r>
      <w:r w:rsidR="00A66F28">
        <w:rPr>
          <w:sz w:val="24"/>
          <w:szCs w:val="24"/>
        </w:rPr>
        <w:t>tavljati znatan problem u daljnjem poslovanju</w:t>
      </w:r>
      <w:r w:rsidR="00E86FD5">
        <w:rPr>
          <w:sz w:val="24"/>
          <w:szCs w:val="24"/>
        </w:rPr>
        <w:t xml:space="preserve"> Društva</w:t>
      </w:r>
      <w:r w:rsidR="00A66F28">
        <w:rPr>
          <w:sz w:val="24"/>
          <w:szCs w:val="24"/>
        </w:rPr>
        <w:t>,</w:t>
      </w:r>
      <w:r w:rsidR="00E86FD5">
        <w:rPr>
          <w:sz w:val="24"/>
          <w:szCs w:val="24"/>
        </w:rPr>
        <w:t xml:space="preserve"> a</w:t>
      </w:r>
      <w:r w:rsidR="00A66F28">
        <w:rPr>
          <w:sz w:val="24"/>
          <w:szCs w:val="24"/>
        </w:rPr>
        <w:t xml:space="preserve"> koje se od</w:t>
      </w:r>
      <w:r w:rsidR="00E86FD5">
        <w:rPr>
          <w:sz w:val="24"/>
          <w:szCs w:val="24"/>
        </w:rPr>
        <w:t>nos</w:t>
      </w:r>
      <w:r w:rsidR="00A66F28">
        <w:rPr>
          <w:sz w:val="24"/>
          <w:szCs w:val="24"/>
        </w:rPr>
        <w:t>i na zbrinjavanje komunalnog otpada s</w:t>
      </w:r>
      <w:r w:rsidR="00E86FD5">
        <w:rPr>
          <w:sz w:val="24"/>
          <w:szCs w:val="24"/>
        </w:rPr>
        <w:t>a</w:t>
      </w:r>
      <w:r w:rsidR="00A66F28">
        <w:rPr>
          <w:sz w:val="24"/>
          <w:szCs w:val="24"/>
        </w:rPr>
        <w:t xml:space="preserve"> područja </w:t>
      </w:r>
      <w:r w:rsidR="00573A83">
        <w:rPr>
          <w:sz w:val="24"/>
          <w:szCs w:val="24"/>
        </w:rPr>
        <w:t>Trogira.</w:t>
      </w:r>
      <w:r>
        <w:rPr>
          <w:sz w:val="24"/>
          <w:szCs w:val="24"/>
        </w:rPr>
        <w:t xml:space="preserve"> </w:t>
      </w:r>
    </w:p>
    <w:p w14:paraId="7943DF2E" w14:textId="00CADCD2" w:rsidR="00D11D63" w:rsidRDefault="00137FED">
      <w:pPr>
        <w:pStyle w:val="Naslov3"/>
        <w:numPr>
          <w:ilvl w:val="2"/>
          <w:numId w:val="14"/>
        </w:numPr>
      </w:pPr>
      <w:bookmarkStart w:id="21" w:name="_Toc90294249"/>
      <w:r>
        <w:t>Izvanredni prihod</w:t>
      </w:r>
      <w:bookmarkEnd w:id="21"/>
      <w:r>
        <w:t>i</w:t>
      </w:r>
    </w:p>
    <w:tbl>
      <w:tblPr>
        <w:tblW w:w="89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0"/>
        <w:gridCol w:w="4400"/>
        <w:gridCol w:w="1340"/>
        <w:gridCol w:w="1340"/>
        <w:gridCol w:w="1120"/>
      </w:tblGrid>
      <w:tr w:rsidR="00573A83" w14:paraId="3EAB7943" w14:textId="77777777" w:rsidTr="00573A83">
        <w:trPr>
          <w:trHeight w:val="30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29A6" w14:textId="77777777" w:rsidR="00573A83" w:rsidRPr="00573A83" w:rsidRDefault="00573A83" w:rsidP="00573A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IV.</w:t>
            </w:r>
          </w:p>
        </w:tc>
        <w:tc>
          <w:tcPr>
            <w:tcW w:w="44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C14F" w14:textId="77777777" w:rsidR="00573A83" w:rsidRPr="00573A83" w:rsidRDefault="00573A83" w:rsidP="00573A83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IZVANREDNI  PRIHODI :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E537" w14:textId="77777777" w:rsidR="00573A83" w:rsidRPr="00573A83" w:rsidRDefault="00573A83" w:rsidP="00573A8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185.000,00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5004" w14:textId="77777777" w:rsidR="00573A83" w:rsidRPr="00573A83" w:rsidRDefault="00573A83" w:rsidP="00573A8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658B" w14:textId="77777777" w:rsidR="00573A83" w:rsidRPr="00573A83" w:rsidRDefault="00573A83" w:rsidP="00573A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2,70%</w:t>
            </w:r>
          </w:p>
        </w:tc>
      </w:tr>
      <w:tr w:rsidR="00573A83" w14:paraId="3A2AEFBC" w14:textId="77777777" w:rsidTr="00573A83">
        <w:trPr>
          <w:trHeight w:val="30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CB3E" w14:textId="77777777" w:rsidR="00573A83" w:rsidRPr="00573A83" w:rsidRDefault="00573A83" w:rsidP="00573A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4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E36F" w14:textId="77777777" w:rsidR="00573A83" w:rsidRPr="00573A83" w:rsidRDefault="00573A83" w:rsidP="00573A83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Prihodi od dotacija, darova i subvencije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1853" w14:textId="77777777" w:rsidR="00573A83" w:rsidRPr="00573A83" w:rsidRDefault="00573A83" w:rsidP="00573A8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823C8" w14:textId="77777777" w:rsidR="00573A83" w:rsidRPr="00573A83" w:rsidRDefault="00573A83" w:rsidP="00573A8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A4C5" w14:textId="77777777" w:rsidR="00573A83" w:rsidRPr="00573A83" w:rsidRDefault="00573A83" w:rsidP="00573A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3A83" w14:paraId="05D885D7" w14:textId="77777777" w:rsidTr="00573A83">
        <w:trPr>
          <w:trHeight w:val="30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D4CB" w14:textId="77777777" w:rsidR="00573A83" w:rsidRPr="00573A83" w:rsidRDefault="00573A83" w:rsidP="00573A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4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2CE3" w14:textId="77777777" w:rsidR="00573A83" w:rsidRPr="00573A83" w:rsidRDefault="00573A83" w:rsidP="00573A83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Prihodi prodaje,opreme, robe, otpadaka, el.energije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E2B2" w14:textId="77777777" w:rsidR="00573A83" w:rsidRPr="00573A83" w:rsidRDefault="00573A83" w:rsidP="00573A8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A587" w14:textId="77777777" w:rsidR="00573A83" w:rsidRPr="00573A83" w:rsidRDefault="00573A83" w:rsidP="00573A8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CDDDF" w14:textId="77777777" w:rsidR="00573A83" w:rsidRPr="00573A83" w:rsidRDefault="00573A83" w:rsidP="00573A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3A83" w14:paraId="6EEDAEB1" w14:textId="77777777" w:rsidTr="00573A83">
        <w:trPr>
          <w:trHeight w:val="30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2F2B" w14:textId="77777777" w:rsidR="00573A83" w:rsidRPr="00573A83" w:rsidRDefault="00573A83" w:rsidP="00573A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68F3" w14:textId="77777777" w:rsidR="00573A83" w:rsidRPr="00573A83" w:rsidRDefault="00573A83" w:rsidP="00573A83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Prihodi od državnih potpora 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146F" w14:textId="77777777" w:rsidR="00573A83" w:rsidRPr="00573A83" w:rsidRDefault="00573A83" w:rsidP="00573A8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BE37" w14:textId="77777777" w:rsidR="00573A83" w:rsidRPr="00573A83" w:rsidRDefault="00573A83" w:rsidP="00573A8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204B" w14:textId="77777777" w:rsidR="00573A83" w:rsidRPr="00573A83" w:rsidRDefault="00573A83" w:rsidP="00573A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3A83" w14:paraId="006766D6" w14:textId="77777777" w:rsidTr="00573A83">
        <w:trPr>
          <w:trHeight w:val="30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A726" w14:textId="77777777" w:rsidR="00573A83" w:rsidRPr="00573A83" w:rsidRDefault="00573A83" w:rsidP="00573A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4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378B" w14:textId="77777777" w:rsidR="00573A83" w:rsidRPr="00573A83" w:rsidRDefault="00573A83" w:rsidP="00573A83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Otpis obveza, viškovi i ostali izvan prihodi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A810" w14:textId="77777777" w:rsidR="00573A83" w:rsidRPr="00573A83" w:rsidRDefault="00573A83" w:rsidP="00573A8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F3C1D" w14:textId="77777777" w:rsidR="00573A83" w:rsidRPr="00573A83" w:rsidRDefault="00573A83" w:rsidP="00573A8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1F743" w14:textId="77777777" w:rsidR="00573A83" w:rsidRPr="00573A83" w:rsidRDefault="00573A83" w:rsidP="00573A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573A83" w14:paraId="43CD41EC" w14:textId="77777777" w:rsidTr="00573A83">
        <w:trPr>
          <w:trHeight w:val="300"/>
        </w:trPr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DAA4" w14:textId="77777777" w:rsidR="00573A83" w:rsidRPr="00573A83" w:rsidRDefault="00573A83" w:rsidP="00573A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40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8735" w14:textId="77777777" w:rsidR="00573A83" w:rsidRPr="00573A83" w:rsidRDefault="00573A83" w:rsidP="00573A83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Prihodi od nakn.napl.otp.potr. ,penala i ug.kazni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FF0B0" w14:textId="77777777" w:rsidR="00573A83" w:rsidRPr="00573A83" w:rsidRDefault="00573A83" w:rsidP="00573A8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9A7B" w14:textId="77777777" w:rsidR="00573A83" w:rsidRPr="00573A83" w:rsidRDefault="00573A83" w:rsidP="00573A8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1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34FA" w14:textId="77777777" w:rsidR="00573A83" w:rsidRPr="00573A83" w:rsidRDefault="00573A83" w:rsidP="00573A8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573A8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10,00%</w:t>
            </w:r>
          </w:p>
        </w:tc>
      </w:tr>
    </w:tbl>
    <w:p w14:paraId="021F0F1D" w14:textId="126D4097" w:rsidR="00D11D63" w:rsidRDefault="00137FED">
      <w:pPr>
        <w:pStyle w:val="Opisslike"/>
      </w:pPr>
      <w:r>
        <w:t xml:space="preserve">Tablica III </w:t>
      </w:r>
      <w:r>
        <w:rPr>
          <w:b w:val="0"/>
          <w:bCs w:val="0"/>
          <w:i/>
          <w:iCs/>
        </w:rPr>
        <w:t>plan izvanrednih  prihoda za 20</w:t>
      </w:r>
      <w:r w:rsidR="00573A83">
        <w:rPr>
          <w:b w:val="0"/>
          <w:bCs w:val="0"/>
          <w:i/>
          <w:iCs/>
        </w:rPr>
        <w:t>26</w:t>
      </w:r>
      <w:r>
        <w:rPr>
          <w:b w:val="0"/>
          <w:bCs w:val="0"/>
          <w:i/>
          <w:iCs/>
        </w:rPr>
        <w:t>.g.</w:t>
      </w:r>
    </w:p>
    <w:p w14:paraId="7C937ABD" w14:textId="77777777" w:rsidR="00D11D63" w:rsidRDefault="00137FED">
      <w:pPr>
        <w:tabs>
          <w:tab w:val="left" w:pos="1506"/>
        </w:tabs>
        <w:rPr>
          <w:sz w:val="24"/>
          <w:szCs w:val="24"/>
        </w:rPr>
      </w:pPr>
      <w:r>
        <w:rPr>
          <w:sz w:val="24"/>
          <w:szCs w:val="24"/>
        </w:rPr>
        <w:t>U cilju povećanja financijske stabilnosti kako je to već započeto u prethodne dvije godine,  smanjivanjem udjela izvanrednih prihoda u ukupnim prihodima u korist operativnih prihoda, znatno  doprinosi  započetom procesu razvoja društva Trogir Holding d.o.o.</w:t>
      </w:r>
    </w:p>
    <w:p w14:paraId="40D88F23" w14:textId="04755F52" w:rsidR="00D11D63" w:rsidRDefault="00137FED">
      <w:pPr>
        <w:pStyle w:val="Odlomakpopisa"/>
        <w:numPr>
          <w:ilvl w:val="2"/>
          <w:numId w:val="14"/>
        </w:numPr>
        <w:tabs>
          <w:tab w:val="left" w:pos="498"/>
        </w:tabs>
        <w:rPr>
          <w:sz w:val="24"/>
          <w:szCs w:val="24"/>
        </w:rPr>
      </w:pPr>
      <w:r>
        <w:rPr>
          <w:sz w:val="24"/>
          <w:szCs w:val="24"/>
        </w:rPr>
        <w:t>PRIHODI OD PROGRAMA GRADA</w:t>
      </w:r>
    </w:p>
    <w:tbl>
      <w:tblPr>
        <w:tblW w:w="911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56"/>
        <w:gridCol w:w="4668"/>
        <w:gridCol w:w="1231"/>
        <w:gridCol w:w="1313"/>
        <w:gridCol w:w="1147"/>
      </w:tblGrid>
      <w:tr w:rsidR="00573A83" w14:paraId="5EC606DA" w14:textId="77777777" w:rsidTr="00573A83">
        <w:trPr>
          <w:trHeight w:val="125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641D2A78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POZICIJA PLANA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4DF33AE0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P R I H O D I 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072671D4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PROCJENA OSTVARENJA ZA 2025. g.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99CC00" w:fill="auto"/>
          </w:tcPr>
          <w:p w14:paraId="68E98C4F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PLAN ZA 2026.g.                           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14:paraId="62B898AD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%  PLAN 2026. /PROCJENA OSTVARENJA ZA 2025.g.</w:t>
            </w:r>
          </w:p>
        </w:tc>
      </w:tr>
      <w:tr w:rsidR="00573A83" w14:paraId="4BFC186A" w14:textId="77777777" w:rsidTr="00573A83">
        <w:trPr>
          <w:trHeight w:val="2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01C983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8B25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 gradsko zelenilo 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DB49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29F37F59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625.000,00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D694EAC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4,17%</w:t>
            </w:r>
          </w:p>
        </w:tc>
      </w:tr>
      <w:tr w:rsidR="00573A83" w14:paraId="3F5E9271" w14:textId="77777777" w:rsidTr="00573A83">
        <w:trPr>
          <w:trHeight w:val="2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18522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2F08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 javna rasvjeta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4343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137B36C3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78F08D03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41,67%</w:t>
            </w:r>
          </w:p>
        </w:tc>
      </w:tr>
      <w:tr w:rsidR="00573A83" w14:paraId="40DB5C18" w14:textId="77777777" w:rsidTr="00573A83">
        <w:trPr>
          <w:trHeight w:val="2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4D7B0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3E39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 čistači JPP 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EEE3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42A78708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FF40E75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32,35%</w:t>
            </w:r>
          </w:p>
        </w:tc>
      </w:tr>
      <w:tr w:rsidR="00573A83" w14:paraId="37324E9C" w14:textId="77777777" w:rsidTr="00573A83">
        <w:trPr>
          <w:trHeight w:val="2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68EA66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1130" w14:textId="1D5466EA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 od </w:t>
            </w:r>
            <w:r w:rsidR="00617678">
              <w:rPr>
                <w:rFonts w:cs="Calibri"/>
                <w:color w:val="000000"/>
                <w:sz w:val="18"/>
                <w:szCs w:val="18"/>
              </w:rPr>
              <w:t>održavanja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JPP 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38E1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150FCC6F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A2276BF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0,00%</w:t>
            </w:r>
          </w:p>
        </w:tc>
      </w:tr>
      <w:tr w:rsidR="00573A83" w14:paraId="356C5B39" w14:textId="77777777" w:rsidTr="00573A83">
        <w:trPr>
          <w:trHeight w:val="2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E8C9E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49FE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 ostalo Grad (ost.usl.)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386A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6B851B9D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C813F75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0,00%</w:t>
            </w:r>
          </w:p>
        </w:tc>
      </w:tr>
      <w:tr w:rsidR="00573A83" w14:paraId="1CD007B0" w14:textId="77777777" w:rsidTr="00573A83">
        <w:trPr>
          <w:trHeight w:val="2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46CF4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9EE9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od održavanja oborinskih kanala 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3B6A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77614B90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A9CCF77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58,82%</w:t>
            </w:r>
          </w:p>
        </w:tc>
      </w:tr>
      <w:tr w:rsidR="00573A83" w14:paraId="0D2B997D" w14:textId="77777777" w:rsidTr="00573A83">
        <w:trPr>
          <w:trHeight w:val="2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39D49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FC1F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od blagdanskog ukrašavanja grada 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FBD0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72.000,00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44AA5080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72.000,00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4DF14BE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0,00%</w:t>
            </w:r>
          </w:p>
        </w:tc>
      </w:tr>
      <w:tr w:rsidR="00573A83" w14:paraId="304F993C" w14:textId="77777777" w:rsidTr="00573A83">
        <w:trPr>
          <w:trHeight w:val="2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AC096E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A391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Prihodi od sanacije divljih depon. 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CD03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105.000,00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54BAD60A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EB21154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14,29%</w:t>
            </w:r>
          </w:p>
        </w:tc>
      </w:tr>
      <w:tr w:rsidR="00573A83" w14:paraId="6CDDAE0A" w14:textId="77777777" w:rsidTr="00573A83">
        <w:trPr>
          <w:trHeight w:val="247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B664D7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857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Prihodi od zakupa prostora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2B60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14:paraId="0DFADD71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C0DEA2D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0,00%</w:t>
            </w:r>
          </w:p>
        </w:tc>
      </w:tr>
      <w:tr w:rsidR="00573A83" w14:paraId="0566DCB4" w14:textId="77777777" w:rsidTr="00573A83">
        <w:trPr>
          <w:trHeight w:val="29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59F94F23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4C5DCDCD" w14:textId="3A71748E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UKUPNI PRIHODI PROGRAMA GRADA: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00" w:fill="auto"/>
          </w:tcPr>
          <w:p w14:paraId="45AD1461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1.544.000,00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99CC00" w:fill="auto"/>
          </w:tcPr>
          <w:p w14:paraId="1BF39E17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1.754.000,00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00" w:fill="auto"/>
          </w:tcPr>
          <w:p w14:paraId="6C048B74" w14:textId="77777777" w:rsidR="00573A83" w:rsidRDefault="00573A83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13,60%</w:t>
            </w:r>
          </w:p>
        </w:tc>
      </w:tr>
    </w:tbl>
    <w:p w14:paraId="6CA0FEC3" w14:textId="1FB9A846" w:rsidR="00D11D63" w:rsidRDefault="00137FED">
      <w:pPr>
        <w:tabs>
          <w:tab w:val="left" w:pos="1506"/>
        </w:tabs>
      </w:pPr>
      <w:r>
        <w:t xml:space="preserve">Tablica IV </w:t>
      </w:r>
      <w:r>
        <w:rPr>
          <w:i/>
          <w:iCs/>
        </w:rPr>
        <w:t>plan strukture prihoda programa grada  za 202</w:t>
      </w:r>
      <w:r w:rsidR="00573A83">
        <w:rPr>
          <w:i/>
          <w:iCs/>
        </w:rPr>
        <w:t>6</w:t>
      </w:r>
      <w:r>
        <w:rPr>
          <w:i/>
          <w:iCs/>
        </w:rPr>
        <w:t>.g.</w:t>
      </w:r>
    </w:p>
    <w:p w14:paraId="775A6D82" w14:textId="0A254347" w:rsidR="00D11D63" w:rsidRDefault="00137FED">
      <w:pPr>
        <w:tabs>
          <w:tab w:val="left" w:pos="1506"/>
        </w:tabs>
        <w:rPr>
          <w:sz w:val="24"/>
          <w:szCs w:val="24"/>
        </w:rPr>
      </w:pPr>
      <w:r>
        <w:rPr>
          <w:sz w:val="24"/>
          <w:szCs w:val="24"/>
        </w:rPr>
        <w:t>Prema prijedlogu Programa održavanja javno prometnih površinama na području Grada za 202</w:t>
      </w:r>
      <w:r w:rsidR="00573A83">
        <w:rPr>
          <w:sz w:val="24"/>
          <w:szCs w:val="24"/>
        </w:rPr>
        <w:t>6</w:t>
      </w:r>
      <w:r>
        <w:rPr>
          <w:sz w:val="24"/>
          <w:szCs w:val="24"/>
        </w:rPr>
        <w:t>. godinu planiraju se povećati  prihodi u</w:t>
      </w:r>
      <w:r w:rsidR="00E86FD5">
        <w:rPr>
          <w:sz w:val="24"/>
          <w:szCs w:val="24"/>
        </w:rPr>
        <w:t xml:space="preserve"> ukupnom</w:t>
      </w:r>
      <w:r>
        <w:rPr>
          <w:sz w:val="24"/>
          <w:szCs w:val="24"/>
        </w:rPr>
        <w:t xml:space="preserve"> iznosu od </w:t>
      </w:r>
      <w:r w:rsidR="00573A83">
        <w:rPr>
          <w:sz w:val="24"/>
          <w:szCs w:val="24"/>
        </w:rPr>
        <w:t>210</w:t>
      </w:r>
      <w:r>
        <w:rPr>
          <w:sz w:val="24"/>
          <w:szCs w:val="24"/>
        </w:rPr>
        <w:t>.000,00</w:t>
      </w:r>
      <w:r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sz w:val="24"/>
          <w:szCs w:val="24"/>
        </w:rPr>
        <w:t xml:space="preserve">EUR u odnosu </w:t>
      </w:r>
      <w:r>
        <w:rPr>
          <w:sz w:val="24"/>
          <w:szCs w:val="24"/>
        </w:rPr>
        <w:lastRenderedPageBreak/>
        <w:t>na 202</w:t>
      </w:r>
      <w:r w:rsidR="00573A83">
        <w:rPr>
          <w:sz w:val="24"/>
          <w:szCs w:val="24"/>
        </w:rPr>
        <w:t>5</w:t>
      </w:r>
      <w:r>
        <w:rPr>
          <w:sz w:val="24"/>
          <w:szCs w:val="24"/>
        </w:rPr>
        <w:t>. godinu</w:t>
      </w:r>
      <w:r w:rsidR="00E86FD5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predstavljaju povećanje za </w:t>
      </w:r>
      <w:r w:rsidR="00573A83">
        <w:rPr>
          <w:sz w:val="24"/>
          <w:szCs w:val="24"/>
        </w:rPr>
        <w:t>13,60</w:t>
      </w:r>
      <w:r>
        <w:rPr>
          <w:sz w:val="24"/>
          <w:szCs w:val="24"/>
        </w:rPr>
        <w:t xml:space="preserve"> %. Planiraju se dodatni radovi na svim programskim aktivnostima sa naglaskom na održavanje i uređenje novih zelenih površina, </w:t>
      </w:r>
      <w:r w:rsidR="00B824D9">
        <w:rPr>
          <w:sz w:val="24"/>
          <w:szCs w:val="24"/>
        </w:rPr>
        <w:t>održavanje čistoće javno</w:t>
      </w:r>
      <w:r w:rsidR="00E86FD5">
        <w:rPr>
          <w:sz w:val="24"/>
          <w:szCs w:val="24"/>
        </w:rPr>
        <w:t xml:space="preserve"> </w:t>
      </w:r>
      <w:r w:rsidR="00B824D9">
        <w:rPr>
          <w:sz w:val="24"/>
          <w:szCs w:val="24"/>
        </w:rPr>
        <w:t xml:space="preserve">prometnih površina, </w:t>
      </w:r>
      <w:r>
        <w:rPr>
          <w:sz w:val="24"/>
          <w:szCs w:val="24"/>
        </w:rPr>
        <w:t xml:space="preserve">te održavanje javne rasvjete – u prvom planu održavanje elektro mreže. </w:t>
      </w:r>
    </w:p>
    <w:p w14:paraId="5292B683" w14:textId="77777777" w:rsidR="00E86FD5" w:rsidRDefault="00E86FD5">
      <w:pPr>
        <w:tabs>
          <w:tab w:val="left" w:pos="1506"/>
        </w:tabs>
      </w:pPr>
    </w:p>
    <w:p w14:paraId="6327F901" w14:textId="37E74339" w:rsidR="00D11D63" w:rsidRDefault="00137FED" w:rsidP="00730FB1">
      <w:pPr>
        <w:pStyle w:val="Naslov3"/>
        <w:numPr>
          <w:ilvl w:val="2"/>
          <w:numId w:val="14"/>
        </w:numPr>
      </w:pPr>
      <w:bookmarkStart w:id="22" w:name="_Toc90294250"/>
      <w:r>
        <w:t>REKAPITULACIJA PLANA UKUPNIH PRIHODA</w:t>
      </w:r>
      <w:bookmarkEnd w:id="22"/>
    </w:p>
    <w:tbl>
      <w:tblPr>
        <w:tblW w:w="8825" w:type="dxa"/>
        <w:tblLook w:val="04A0" w:firstRow="1" w:lastRow="0" w:firstColumn="1" w:lastColumn="0" w:noHBand="0" w:noVBand="1"/>
      </w:tblPr>
      <w:tblGrid>
        <w:gridCol w:w="725"/>
        <w:gridCol w:w="4440"/>
        <w:gridCol w:w="1180"/>
        <w:gridCol w:w="1180"/>
        <w:gridCol w:w="1300"/>
      </w:tblGrid>
      <w:tr w:rsidR="005F1A40" w:rsidRPr="005F1A40" w14:paraId="149E61D9" w14:textId="77777777" w:rsidTr="005F1A40">
        <w:trPr>
          <w:trHeight w:val="1290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C595AB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POZICIJA PLANA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0B9A37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 R I H O D I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27E256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lang w:eastAsia="hr-HR"/>
              </w:rPr>
              <w:t>PROCJENA OSTVARENJA ZA 2025. g.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522B31D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PLAN ZA 2026.g.                          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3E5060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lang w:eastAsia="hr-HR"/>
              </w:rPr>
              <w:t>%  PLAN 2026. /PROCJENA OSTVARENJA ZA 2025.g.</w:t>
            </w:r>
          </w:p>
        </w:tc>
      </w:tr>
      <w:tr w:rsidR="005F1A40" w:rsidRPr="005F1A40" w14:paraId="665D8690" w14:textId="77777777" w:rsidTr="005F1A40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22DE3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I.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573B6C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PROIZVODA I USLUGA: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8F95E5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6.015.067,37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4764F2D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6.468.100,00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C85B26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7,53%</w:t>
            </w:r>
          </w:p>
        </w:tc>
      </w:tr>
      <w:tr w:rsidR="005F1A40" w:rsidRPr="005F1A40" w14:paraId="329D08F7" w14:textId="77777777" w:rsidTr="005F1A40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02046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II.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E2EEB9" w14:textId="0B481DFC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REZERVIRANJA: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ED327B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189.346,27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AB67B85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330.000,00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D40D6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74,28%</w:t>
            </w:r>
          </w:p>
        </w:tc>
      </w:tr>
      <w:tr w:rsidR="005F1A40" w:rsidRPr="005F1A40" w14:paraId="118B9271" w14:textId="77777777" w:rsidTr="005F1A40">
        <w:trPr>
          <w:trHeight w:val="300"/>
        </w:trPr>
        <w:tc>
          <w:tcPr>
            <w:tcW w:w="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DC08C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III.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80AC61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FINANCIJSKI PRIHODI: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61BFD6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E0929DD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97FB2B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11,11%</w:t>
            </w:r>
          </w:p>
        </w:tc>
      </w:tr>
      <w:tr w:rsidR="005F1A40" w:rsidRPr="005F1A40" w14:paraId="7F96522C" w14:textId="77777777" w:rsidTr="005F1A40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DA93B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IV.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D20E68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IZVANREDNI  PRIHODI 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7F7AAF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185.000,00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7924950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375AD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2,70%</w:t>
            </w:r>
          </w:p>
        </w:tc>
      </w:tr>
      <w:tr w:rsidR="005F1A40" w:rsidRPr="005F1A40" w14:paraId="16C9CCCC" w14:textId="77777777" w:rsidTr="005F1A40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DB6A81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V.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91AEE8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UKUPNI PRIHODI POSLOVANJA: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EFBE2A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6.407.413,64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B5F40D4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7.008.100,00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046CA3F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9,37%</w:t>
            </w:r>
          </w:p>
        </w:tc>
      </w:tr>
    </w:tbl>
    <w:p w14:paraId="727EED92" w14:textId="7D8DDD6C" w:rsidR="00D11D63" w:rsidRDefault="00137FED">
      <w:pPr>
        <w:pStyle w:val="Opisslike"/>
      </w:pPr>
      <w:bookmarkStart w:id="23" w:name="_Toc89861009"/>
      <w:bookmarkStart w:id="24" w:name="_Toc90294217"/>
      <w:r>
        <w:t xml:space="preserve">Tablica V </w:t>
      </w:r>
      <w:r>
        <w:rPr>
          <w:b w:val="0"/>
          <w:bCs w:val="0"/>
          <w:i/>
          <w:iCs/>
        </w:rPr>
        <w:t>plan strukture ukupnih prihoda za 20</w:t>
      </w:r>
      <w:r w:rsidR="00B824D9">
        <w:rPr>
          <w:b w:val="0"/>
          <w:bCs w:val="0"/>
          <w:i/>
          <w:iCs/>
        </w:rPr>
        <w:t>26</w:t>
      </w:r>
      <w:r>
        <w:rPr>
          <w:b w:val="0"/>
          <w:bCs w:val="0"/>
          <w:i/>
          <w:iCs/>
        </w:rPr>
        <w:t>.g.</w:t>
      </w:r>
      <w:bookmarkEnd w:id="23"/>
      <w:bookmarkEnd w:id="24"/>
    </w:p>
    <w:p w14:paraId="0A6D0170" w14:textId="77777777" w:rsidR="00D11D63" w:rsidRDefault="00137FED">
      <w:pPr>
        <w:tabs>
          <w:tab w:val="left" w:pos="1506"/>
        </w:tabs>
        <w:rPr>
          <w:sz w:val="24"/>
          <w:szCs w:val="24"/>
        </w:rPr>
      </w:pPr>
      <w:r>
        <w:rPr>
          <w:sz w:val="24"/>
          <w:szCs w:val="24"/>
        </w:rPr>
        <w:t xml:space="preserve">Zaključno: </w:t>
      </w:r>
    </w:p>
    <w:p w14:paraId="12DCE1DC" w14:textId="005C7DB3" w:rsidR="00D11D63" w:rsidRDefault="00137FED">
      <w:pPr>
        <w:tabs>
          <w:tab w:val="left" w:pos="1506"/>
        </w:tabs>
      </w:pPr>
      <w:r>
        <w:rPr>
          <w:sz w:val="24"/>
          <w:szCs w:val="24"/>
        </w:rPr>
        <w:t>Planirani ukupni prihodi Trogir Holding d.o.o. za 202</w:t>
      </w:r>
      <w:r w:rsidR="00B824D9">
        <w:rPr>
          <w:sz w:val="24"/>
          <w:szCs w:val="24"/>
        </w:rPr>
        <w:t>6</w:t>
      </w:r>
      <w:r>
        <w:rPr>
          <w:sz w:val="24"/>
          <w:szCs w:val="24"/>
        </w:rPr>
        <w:t xml:space="preserve">. godinu iznose </w:t>
      </w:r>
      <w:r w:rsidR="00B824D9">
        <w:rPr>
          <w:rFonts w:eastAsia="Times New Roman"/>
          <w:b/>
          <w:bCs/>
          <w:sz w:val="24"/>
          <w:szCs w:val="24"/>
          <w:lang w:eastAsia="hr-HR"/>
        </w:rPr>
        <w:t>7.008.100</w:t>
      </w:r>
      <w:r>
        <w:rPr>
          <w:rFonts w:eastAsia="Times New Roman"/>
          <w:b/>
          <w:bCs/>
          <w:sz w:val="24"/>
          <w:szCs w:val="24"/>
          <w:lang w:eastAsia="hr-HR"/>
        </w:rPr>
        <w:t xml:space="preserve">,00 </w:t>
      </w:r>
      <w:r>
        <w:rPr>
          <w:rFonts w:eastAsia="Times New Roman" w:cs="Calibri"/>
          <w:b/>
          <w:bCs/>
          <w:sz w:val="24"/>
          <w:szCs w:val="24"/>
          <w:lang w:eastAsia="hr-HR"/>
        </w:rPr>
        <w:t xml:space="preserve">EUR </w:t>
      </w:r>
      <w:r>
        <w:rPr>
          <w:sz w:val="24"/>
          <w:szCs w:val="24"/>
        </w:rPr>
        <w:t xml:space="preserve"> što je relativno povećanje od </w:t>
      </w:r>
      <w:r w:rsidR="00B824D9">
        <w:rPr>
          <w:sz w:val="24"/>
          <w:szCs w:val="24"/>
        </w:rPr>
        <w:t>9,37</w:t>
      </w:r>
      <w:r>
        <w:rPr>
          <w:sz w:val="24"/>
          <w:szCs w:val="24"/>
        </w:rPr>
        <w:t xml:space="preserve"> % u odnosu na 202</w:t>
      </w:r>
      <w:r w:rsidR="00B824D9">
        <w:rPr>
          <w:sz w:val="24"/>
          <w:szCs w:val="24"/>
        </w:rPr>
        <w:t>5</w:t>
      </w:r>
      <w:r>
        <w:rPr>
          <w:sz w:val="24"/>
          <w:szCs w:val="24"/>
        </w:rPr>
        <w:t>. godinu.</w:t>
      </w:r>
    </w:p>
    <w:p w14:paraId="3ED162EE" w14:textId="68B2F11C" w:rsidR="00D11D63" w:rsidRDefault="00137FED" w:rsidP="00730FB1">
      <w:pPr>
        <w:pStyle w:val="Naslov3"/>
        <w:numPr>
          <w:ilvl w:val="0"/>
          <w:numId w:val="14"/>
        </w:numPr>
        <w:rPr>
          <w:b/>
          <w:bCs/>
        </w:rPr>
      </w:pPr>
      <w:bookmarkStart w:id="25" w:name="_Toc90294251"/>
      <w:r>
        <w:rPr>
          <w:b/>
          <w:bCs/>
        </w:rPr>
        <w:t>PLAN RASHODA ZA 202</w:t>
      </w:r>
      <w:r w:rsidR="00B824D9">
        <w:rPr>
          <w:b/>
          <w:bCs/>
        </w:rPr>
        <w:t>6</w:t>
      </w:r>
      <w:r>
        <w:rPr>
          <w:b/>
          <w:bCs/>
        </w:rPr>
        <w:t>. GODINU</w:t>
      </w:r>
      <w:bookmarkEnd w:id="25"/>
    </w:p>
    <w:tbl>
      <w:tblPr>
        <w:tblW w:w="8800" w:type="dxa"/>
        <w:tblLook w:val="04A0" w:firstRow="1" w:lastRow="0" w:firstColumn="1" w:lastColumn="0" w:noHBand="0" w:noVBand="1"/>
      </w:tblPr>
      <w:tblGrid>
        <w:gridCol w:w="725"/>
        <w:gridCol w:w="4440"/>
        <w:gridCol w:w="1180"/>
        <w:gridCol w:w="1180"/>
        <w:gridCol w:w="1300"/>
      </w:tblGrid>
      <w:tr w:rsidR="005F1A40" w:rsidRPr="005F1A40" w14:paraId="5211A4A0" w14:textId="77777777" w:rsidTr="005F1A40">
        <w:trPr>
          <w:trHeight w:val="129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4208C6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POZICIJA PLANA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5786DF" w14:textId="3DC3662F" w:rsidR="005F1A40" w:rsidRPr="005F1A40" w:rsidRDefault="00DD32C5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 A S H O D I</w:t>
            </w:r>
            <w:r w:rsidR="005F1A40"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DDE511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lang w:eastAsia="hr-HR"/>
              </w:rPr>
              <w:t>PROCJENA OSTVARENJA ZA 2025. g.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2A97EA9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PLAN ZA 2026.g.                          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6D1027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lang w:eastAsia="hr-HR"/>
              </w:rPr>
              <w:t>%  PLAN 2026. g./PROCJENA OSTVARENJA ZA 2025.g.</w:t>
            </w:r>
          </w:p>
        </w:tc>
      </w:tr>
      <w:tr w:rsidR="005F1A40" w:rsidRPr="005F1A40" w14:paraId="740D64B4" w14:textId="77777777" w:rsidTr="005F1A40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E55CBA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2313CD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BB7D35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6.529.167,32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6BF3D03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6.944.161,24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1945F00" w14:textId="77777777" w:rsidR="005F1A40" w:rsidRPr="005F1A40" w:rsidRDefault="005F1A40" w:rsidP="005F1A40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F1A4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6,36%</w:t>
            </w:r>
          </w:p>
        </w:tc>
      </w:tr>
    </w:tbl>
    <w:p w14:paraId="35973CC1" w14:textId="1ADE2011" w:rsidR="00D11D63" w:rsidRDefault="00137FED">
      <w:pPr>
        <w:pStyle w:val="Opisslike"/>
      </w:pPr>
      <w:r>
        <w:t xml:space="preserve">Tablica vI </w:t>
      </w:r>
      <w:r>
        <w:rPr>
          <w:b w:val="0"/>
          <w:bCs w:val="0"/>
          <w:i/>
          <w:iCs/>
        </w:rPr>
        <w:t>plan rashoda  za 202</w:t>
      </w:r>
      <w:r w:rsidR="005F1A40">
        <w:rPr>
          <w:b w:val="0"/>
          <w:bCs w:val="0"/>
          <w:i/>
          <w:iCs/>
        </w:rPr>
        <w:t>6</w:t>
      </w:r>
      <w:r>
        <w:rPr>
          <w:b w:val="0"/>
          <w:bCs w:val="0"/>
          <w:i/>
          <w:iCs/>
        </w:rPr>
        <w:t>.g.</w:t>
      </w:r>
    </w:p>
    <w:p w14:paraId="06029328" w14:textId="4A99E788" w:rsidR="00D11D63" w:rsidRDefault="00137FED">
      <w:pPr>
        <w:rPr>
          <w:sz w:val="24"/>
          <w:szCs w:val="24"/>
        </w:rPr>
      </w:pPr>
      <w:r>
        <w:rPr>
          <w:sz w:val="24"/>
          <w:szCs w:val="24"/>
        </w:rPr>
        <w:t xml:space="preserve">Planirano povećanje rashoda poslovanja za </w:t>
      </w:r>
      <w:r w:rsidR="005F1A40">
        <w:rPr>
          <w:sz w:val="24"/>
          <w:szCs w:val="24"/>
        </w:rPr>
        <w:t>6,36</w:t>
      </w:r>
      <w:r>
        <w:rPr>
          <w:sz w:val="24"/>
          <w:szCs w:val="24"/>
        </w:rPr>
        <w:t xml:space="preserve"> % temelji se na najavljenom povećanju</w:t>
      </w:r>
      <w:r w:rsidR="005F1A40">
        <w:rPr>
          <w:sz w:val="24"/>
          <w:szCs w:val="24"/>
        </w:rPr>
        <w:t xml:space="preserve"> troškova za usluge </w:t>
      </w:r>
      <w:r>
        <w:rPr>
          <w:sz w:val="24"/>
          <w:szCs w:val="24"/>
        </w:rPr>
        <w:t xml:space="preserve">zbrinjavanja raznih vrsta otpada nastalih odvajanjem otpada iz komunalnog otpada, </w:t>
      </w:r>
      <w:r w:rsidR="00926106">
        <w:rPr>
          <w:sz w:val="24"/>
          <w:szCs w:val="24"/>
        </w:rPr>
        <w:t>kao</w:t>
      </w:r>
      <w:r>
        <w:rPr>
          <w:sz w:val="24"/>
          <w:szCs w:val="24"/>
        </w:rPr>
        <w:t xml:space="preserve"> od 01.01.2025. godine uvođenje naknade Fondu za zaštitu okoliša u vis</w:t>
      </w:r>
      <w:r w:rsidR="00926106">
        <w:rPr>
          <w:sz w:val="24"/>
          <w:szCs w:val="24"/>
        </w:rPr>
        <w:t>i</w:t>
      </w:r>
      <w:r>
        <w:rPr>
          <w:sz w:val="24"/>
          <w:szCs w:val="24"/>
        </w:rPr>
        <w:t>ni od 3</w:t>
      </w:r>
      <w:r w:rsidR="00926106">
        <w:rPr>
          <w:sz w:val="24"/>
          <w:szCs w:val="24"/>
        </w:rPr>
        <w:t>5</w:t>
      </w:r>
      <w:r>
        <w:rPr>
          <w:sz w:val="24"/>
          <w:szCs w:val="24"/>
        </w:rPr>
        <w:t>,00 EUR /toni odloženog otpada na deponiju</w:t>
      </w:r>
      <w:r w:rsidR="00926106">
        <w:rPr>
          <w:sz w:val="24"/>
          <w:szCs w:val="24"/>
        </w:rPr>
        <w:t xml:space="preserve"> u 2026. godini</w:t>
      </w:r>
      <w:r>
        <w:rPr>
          <w:sz w:val="24"/>
          <w:szCs w:val="24"/>
        </w:rPr>
        <w:t xml:space="preserve">. Na planirano povećanje rashoda utjecalo je nastavljeno  povećanje  troškova osoblja  odnosno povećanje plaća radnika za </w:t>
      </w:r>
      <w:r w:rsidR="00926106">
        <w:rPr>
          <w:sz w:val="24"/>
          <w:szCs w:val="24"/>
        </w:rPr>
        <w:t xml:space="preserve"> 10,07</w:t>
      </w:r>
      <w:r>
        <w:rPr>
          <w:sz w:val="24"/>
          <w:szCs w:val="24"/>
        </w:rPr>
        <w:t xml:space="preserve"> % . </w:t>
      </w:r>
    </w:p>
    <w:p w14:paraId="58C8F45B" w14:textId="77777777" w:rsidR="00CD3350" w:rsidRDefault="00CD3350">
      <w:pPr>
        <w:rPr>
          <w:sz w:val="24"/>
          <w:szCs w:val="24"/>
        </w:rPr>
      </w:pPr>
    </w:p>
    <w:p w14:paraId="00D42136" w14:textId="77777777" w:rsidR="00CD3350" w:rsidRDefault="00CD3350">
      <w:pPr>
        <w:rPr>
          <w:sz w:val="24"/>
          <w:szCs w:val="24"/>
        </w:rPr>
      </w:pPr>
    </w:p>
    <w:p w14:paraId="34A9CFFF" w14:textId="77777777" w:rsidR="00CD3350" w:rsidRDefault="00CD3350">
      <w:pPr>
        <w:rPr>
          <w:sz w:val="24"/>
          <w:szCs w:val="24"/>
        </w:rPr>
      </w:pPr>
    </w:p>
    <w:p w14:paraId="2BD40D3F" w14:textId="11C5B2C3" w:rsidR="00D11D63" w:rsidRDefault="00137FED" w:rsidP="00730FB1">
      <w:pPr>
        <w:pStyle w:val="Naslov3"/>
        <w:numPr>
          <w:ilvl w:val="1"/>
          <w:numId w:val="14"/>
        </w:numPr>
      </w:pPr>
      <w:bookmarkStart w:id="26" w:name="_Toc90294252"/>
      <w:r>
        <w:t>MATERIJALNI TROŠKOVI</w:t>
      </w:r>
      <w:bookmarkEnd w:id="26"/>
    </w:p>
    <w:tbl>
      <w:tblPr>
        <w:tblW w:w="90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"/>
        <w:gridCol w:w="4188"/>
        <w:gridCol w:w="1314"/>
        <w:gridCol w:w="1314"/>
        <w:gridCol w:w="1213"/>
      </w:tblGrid>
      <w:tr w:rsidR="00DD32C5" w:rsidRPr="00DD32C5" w14:paraId="1B6398C2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D55D" w14:textId="77777777" w:rsidR="00DD32C5" w:rsidRPr="00DD32C5" w:rsidRDefault="00DD32C5" w:rsidP="00DD32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DD32C5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POZICIJA PLANA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3650" w14:textId="77777777" w:rsidR="00DD32C5" w:rsidRPr="00DD32C5" w:rsidRDefault="00DD32C5" w:rsidP="00DD32C5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DD32C5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R A S H O D I 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799E" w14:textId="77777777" w:rsidR="00DD32C5" w:rsidRPr="00DD32C5" w:rsidRDefault="00DD32C5" w:rsidP="00DD32C5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DD32C5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PROCJENA OSTVARENJA ZA 2025. g.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6AB71" w14:textId="77777777" w:rsidR="00DD32C5" w:rsidRPr="00DD32C5" w:rsidRDefault="00DD32C5" w:rsidP="00DD32C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D32C5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PLAN ZA 2026.g.                           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F06F" w14:textId="77777777" w:rsidR="00DD32C5" w:rsidRPr="00DD32C5" w:rsidRDefault="00DD32C5" w:rsidP="00DD32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DD32C5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%  PLAN 2026. g./PROCJENA OSTVARENJA ZA 2025.g.</w:t>
            </w:r>
          </w:p>
        </w:tc>
      </w:tr>
      <w:tr w:rsidR="00321760" w:rsidRPr="00321760" w14:paraId="1FB45298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2769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VI.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D9A2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MATERIJALNI TROŠKOVI: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D0AAB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557.200,00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34D6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590.900,00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D32D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6,05%</w:t>
            </w:r>
          </w:p>
        </w:tc>
      </w:tr>
      <w:tr w:rsidR="00321760" w:rsidRPr="00321760" w14:paraId="3FFBE5B3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649D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BB3E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Materijali -razno 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1C0D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21988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4527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66,67%</w:t>
            </w:r>
          </w:p>
        </w:tc>
      </w:tr>
      <w:tr w:rsidR="00321760" w:rsidRPr="00321760" w14:paraId="7B820A87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D9AC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668F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Božićna drvca 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97C4D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275A8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863A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20,00%</w:t>
            </w:r>
          </w:p>
        </w:tc>
      </w:tr>
      <w:tr w:rsidR="00321760" w:rsidRPr="00321760" w14:paraId="32491EC3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AC45E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3692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Bravarski materijal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5282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2C68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49D4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755D6E20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E306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4243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Aluminijska bravarija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B916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7C66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351C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58E4C1CF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C49A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0EE7" w14:textId="7EFC3819" w:rsidR="00321760" w:rsidRPr="00321760" w:rsidRDefault="00617678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Vodo instalacijski</w:t>
            </w:r>
            <w:r w:rsidR="00321760"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 materijal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8E48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3C3E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F96E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45B853BB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FBAA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27DF4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Gnojiva ,zaštitna sredstva i ostala poljooprema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C147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166C9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E405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42,86%</w:t>
            </w:r>
          </w:p>
        </w:tc>
      </w:tr>
      <w:tr w:rsidR="00321760" w:rsidRPr="00321760" w14:paraId="522A8835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0473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8F9C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Biljni i sadni materijal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39BA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572F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6BE9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8,33%</w:t>
            </w:r>
          </w:p>
        </w:tc>
      </w:tr>
      <w:tr w:rsidR="00321760" w:rsidRPr="00321760" w14:paraId="14BC8723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84CCB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E508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Alati i potrošni materijal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4338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709E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53CDB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1A4131A6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FA92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7700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Građevinski materijal 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0B2C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C7E77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48C9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0DF85C9C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63A0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E56A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Građevinski materijal - BETON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9E9C0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4737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C1FF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7060BA4F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81A6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B80E4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Građevinski materija-KAMENI-RUBNJACI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7E86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B067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0B1A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5322FC8E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6F0C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8ED10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Građevinski materijal - KAMENI AGREGAT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B4027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DAA2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30BF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4A9618D8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C661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3535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Materijal za čišćenje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7EE0D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28A2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7CCBC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8,33%</w:t>
            </w:r>
          </w:p>
        </w:tc>
      </w:tr>
      <w:tr w:rsidR="00321760" w:rsidRPr="00321760" w14:paraId="63ED749A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FA6B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E6E9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Uredski materijal i toneri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6537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D076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24C6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20,00%</w:t>
            </w:r>
          </w:p>
        </w:tc>
      </w:tr>
      <w:tr w:rsidR="00321760" w:rsidRPr="00321760" w14:paraId="621EAFBE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2C63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68FC8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Vrećice za otpad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BFDF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D483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5ADE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25,00%</w:t>
            </w:r>
          </w:p>
        </w:tc>
      </w:tr>
      <w:tr w:rsidR="00321760" w:rsidRPr="00321760" w14:paraId="1CBFF0F5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F599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C5CC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Boje, lakovi,razređivači i sitni potrošni materijal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B0D6E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2B7F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8E9D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3A20D7EB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AB44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1563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Zaštitna odjeća 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4DF5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856D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15CC5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15,38%</w:t>
            </w:r>
          </w:p>
        </w:tc>
      </w:tr>
      <w:tr w:rsidR="00321760" w:rsidRPr="00321760" w14:paraId="55DCBF45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30DC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1D45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Zaštitna obuća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C67E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B539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49AA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20,00%</w:t>
            </w:r>
          </w:p>
        </w:tc>
      </w:tr>
      <w:tr w:rsidR="00321760" w:rsidRPr="00321760" w14:paraId="7077CAFA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2A2F8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C2F5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Auto dijelovi 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1A0D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A57E4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8047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69CB872C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2D8F3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AD21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Rezervni dijelovi za strojeve /pile, traktore,trav./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B670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AC72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66F5F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5CBA323B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D7FF9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36E4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Akumulatori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B4F2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AC3C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719C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17749861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E2FD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F0C8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Uspornici za kolnik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FFA7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58B9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8DBD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4F9D8095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7982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059E0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Prometni znakovi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C4B5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47E5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E4A5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25,00%</w:t>
            </w:r>
          </w:p>
        </w:tc>
      </w:tr>
      <w:tr w:rsidR="00321760" w:rsidRPr="00321760" w14:paraId="44540D9B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AAAB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25A74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Radio oprema  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0967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9899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F9CE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0D57CC30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CEDE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F1981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Otpis sitnog inventara 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23132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2201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6E35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630BCAA6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F43F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1889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Otpis autoguma /autogume 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1F27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8FDC7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7044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15,38%</w:t>
            </w:r>
          </w:p>
        </w:tc>
      </w:tr>
      <w:tr w:rsidR="00321760" w:rsidRPr="00321760" w14:paraId="6C3350C4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3C5D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9181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Auto ulja i maziva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D3E8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6783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1ECBA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321760" w:rsidRPr="00321760" w14:paraId="23C99B57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6E0F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FCDB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Gorivo Eurodiesel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B5F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F6EE0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462B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3,66%</w:t>
            </w:r>
          </w:p>
        </w:tc>
      </w:tr>
      <w:tr w:rsidR="00321760" w:rsidRPr="00321760" w14:paraId="6F3C34DF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2988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0BFA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Gorivo Euro super BS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7558A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7DE1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E60C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11,11%</w:t>
            </w:r>
          </w:p>
        </w:tc>
      </w:tr>
      <w:tr w:rsidR="00321760" w:rsidRPr="00321760" w14:paraId="018AE415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3908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E901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Elektromaterijal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CA5F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4D7E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5B057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-14,29%</w:t>
            </w:r>
          </w:p>
        </w:tc>
      </w:tr>
      <w:tr w:rsidR="00321760" w:rsidRPr="00321760" w14:paraId="4D692299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B173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6EFC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Električna energija -opskrba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E6F32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AD1A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9936B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12,50%</w:t>
            </w:r>
          </w:p>
        </w:tc>
      </w:tr>
      <w:tr w:rsidR="00321760" w:rsidRPr="00321760" w14:paraId="223D4A65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204C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0DFDA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Električna energija -mrežarina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5250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8FAB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96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6D57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25,00%</w:t>
            </w:r>
          </w:p>
        </w:tc>
      </w:tr>
      <w:tr w:rsidR="00321760" w:rsidRPr="00321760" w14:paraId="4E05685A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C97A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1D6B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Troškovi vode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7261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CB47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4D0A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10,00%</w:t>
            </w:r>
          </w:p>
        </w:tc>
      </w:tr>
      <w:tr w:rsidR="00321760" w:rsidRPr="00321760" w14:paraId="45E57309" w14:textId="77777777" w:rsidTr="00DD32C5">
        <w:trPr>
          <w:trHeight w:val="25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17DE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41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6AF4" w14:textId="77777777" w:rsidR="00321760" w:rsidRPr="00321760" w:rsidRDefault="00321760" w:rsidP="00321760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Kartice evidencije ulaza i izlaza na parkirališta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DB2B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FA3A" w14:textId="77777777" w:rsidR="00321760" w:rsidRPr="00321760" w:rsidRDefault="00321760" w:rsidP="0032176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7BC7" w14:textId="77777777" w:rsidR="00321760" w:rsidRPr="00321760" w:rsidRDefault="00321760" w:rsidP="003217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321760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13,64%</w:t>
            </w:r>
          </w:p>
        </w:tc>
      </w:tr>
    </w:tbl>
    <w:p w14:paraId="4AF50638" w14:textId="77777777" w:rsidR="00D11D63" w:rsidRDefault="00D11D63">
      <w:pPr>
        <w:pStyle w:val="Opisslike"/>
      </w:pPr>
    </w:p>
    <w:p w14:paraId="34FC8236" w14:textId="077D4FC5" w:rsidR="00D11D63" w:rsidRDefault="00137FED">
      <w:pPr>
        <w:pStyle w:val="Opisslike"/>
      </w:pPr>
      <w:r>
        <w:t xml:space="preserve">Tablica viI </w:t>
      </w:r>
      <w:r>
        <w:rPr>
          <w:b w:val="0"/>
          <w:bCs w:val="0"/>
          <w:i/>
          <w:iCs/>
        </w:rPr>
        <w:t>plan strukture materijalnih troškova  za 202</w:t>
      </w:r>
      <w:r w:rsidR="00321760">
        <w:rPr>
          <w:b w:val="0"/>
          <w:bCs w:val="0"/>
          <w:i/>
          <w:iCs/>
        </w:rPr>
        <w:t>6</w:t>
      </w:r>
      <w:r>
        <w:rPr>
          <w:b w:val="0"/>
          <w:bCs w:val="0"/>
          <w:i/>
          <w:iCs/>
        </w:rPr>
        <w:t>.g.</w:t>
      </w:r>
    </w:p>
    <w:p w14:paraId="561C32B9" w14:textId="25966924" w:rsidR="00D11D63" w:rsidRDefault="00137FED">
      <w:pPr>
        <w:contextualSpacing/>
      </w:pPr>
      <w:r>
        <w:rPr>
          <w:sz w:val="24"/>
          <w:szCs w:val="24"/>
        </w:rPr>
        <w:lastRenderedPageBreak/>
        <w:t xml:space="preserve">Materijalni troškovi planirani su u iznosu od </w:t>
      </w:r>
      <w:r w:rsidR="00321760">
        <w:rPr>
          <w:rFonts w:eastAsia="Times New Roman"/>
          <w:b/>
          <w:bCs/>
          <w:sz w:val="24"/>
          <w:szCs w:val="24"/>
          <w:lang w:eastAsia="hr-HR"/>
        </w:rPr>
        <w:t>590</w:t>
      </w:r>
      <w:r>
        <w:rPr>
          <w:rFonts w:eastAsia="Times New Roman"/>
          <w:b/>
          <w:bCs/>
          <w:sz w:val="24"/>
          <w:szCs w:val="24"/>
          <w:lang w:eastAsia="hr-HR"/>
        </w:rPr>
        <w:t>.900,00 EUR</w:t>
      </w:r>
      <w:r>
        <w:rPr>
          <w:sz w:val="24"/>
          <w:szCs w:val="24"/>
        </w:rPr>
        <w:t xml:space="preserve">, što je planiranih za oko </w:t>
      </w:r>
      <w:r w:rsidR="00321760">
        <w:rPr>
          <w:sz w:val="24"/>
          <w:szCs w:val="24"/>
        </w:rPr>
        <w:t>6,05</w:t>
      </w:r>
      <w:r>
        <w:rPr>
          <w:sz w:val="24"/>
          <w:szCs w:val="24"/>
        </w:rPr>
        <w:t xml:space="preserve"> % </w:t>
      </w:r>
      <w:r w:rsidR="00321760">
        <w:rPr>
          <w:sz w:val="24"/>
          <w:szCs w:val="24"/>
        </w:rPr>
        <w:t xml:space="preserve">više </w:t>
      </w:r>
      <w:r>
        <w:rPr>
          <w:sz w:val="24"/>
          <w:szCs w:val="24"/>
        </w:rPr>
        <w:t>u odnosno na 202</w:t>
      </w:r>
      <w:r w:rsidR="00321760">
        <w:rPr>
          <w:sz w:val="24"/>
          <w:szCs w:val="24"/>
        </w:rPr>
        <w:t>5</w:t>
      </w:r>
      <w:r>
        <w:rPr>
          <w:sz w:val="24"/>
          <w:szCs w:val="24"/>
        </w:rPr>
        <w:t>. godinu.</w:t>
      </w:r>
    </w:p>
    <w:p w14:paraId="12D2CCA2" w14:textId="2AC13850" w:rsidR="00D11D63" w:rsidRDefault="00137FED">
      <w:pPr>
        <w:contextualSpacing/>
        <w:rPr>
          <w:sz w:val="24"/>
          <w:szCs w:val="24"/>
        </w:rPr>
      </w:pPr>
      <w:r>
        <w:rPr>
          <w:sz w:val="24"/>
          <w:szCs w:val="24"/>
        </w:rPr>
        <w:t>Sadržane stavke planirane su temeljem Ugovora, planiranog obujma posla kroz procjene  planiranih aktivnosti u 202</w:t>
      </w:r>
      <w:r w:rsidR="00321760">
        <w:rPr>
          <w:sz w:val="24"/>
          <w:szCs w:val="24"/>
        </w:rPr>
        <w:t>6</w:t>
      </w:r>
      <w:r>
        <w:rPr>
          <w:sz w:val="24"/>
          <w:szCs w:val="24"/>
        </w:rPr>
        <w:t xml:space="preserve">. godini. Naime, još i tijekom 2024. godine došlo je do </w:t>
      </w:r>
      <w:r w:rsidR="00617678">
        <w:rPr>
          <w:sz w:val="24"/>
          <w:szCs w:val="24"/>
        </w:rPr>
        <w:t>stabilizacije</w:t>
      </w:r>
      <w:r>
        <w:rPr>
          <w:sz w:val="24"/>
          <w:szCs w:val="24"/>
        </w:rPr>
        <w:t xml:space="preserve"> nabavnih cijena materijala, a posebno cijena energenata.</w:t>
      </w:r>
    </w:p>
    <w:p w14:paraId="3C012C22" w14:textId="11A0678E" w:rsidR="00D11D63" w:rsidRDefault="00137FE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 skladu s time, nabavu roba i usluga je nužno detaljno planirati, kontinuirano prikupljati informacije istraživanjem tržišta, prikupljajući ponude, te iste naručivati na vrijeme bez pritiska od rokova isporuke. Nužno je kontrolirati i evidentirati kvalitetu isporučenih dobara i usluga, te provoditi </w:t>
      </w:r>
      <w:r w:rsidR="00321760">
        <w:rPr>
          <w:sz w:val="24"/>
          <w:szCs w:val="24"/>
        </w:rPr>
        <w:t xml:space="preserve">postupke </w:t>
      </w:r>
      <w:r>
        <w:rPr>
          <w:sz w:val="24"/>
          <w:szCs w:val="24"/>
        </w:rPr>
        <w:t>javn</w:t>
      </w:r>
      <w:r w:rsidR="00321760">
        <w:rPr>
          <w:sz w:val="24"/>
          <w:szCs w:val="24"/>
        </w:rPr>
        <w:t>e</w:t>
      </w:r>
      <w:r>
        <w:rPr>
          <w:sz w:val="24"/>
          <w:szCs w:val="24"/>
        </w:rPr>
        <w:t xml:space="preserve"> nabav</w:t>
      </w:r>
      <w:r w:rsidR="00321760">
        <w:rPr>
          <w:sz w:val="24"/>
          <w:szCs w:val="24"/>
        </w:rPr>
        <w:t>e.</w:t>
      </w:r>
      <w:r>
        <w:rPr>
          <w:sz w:val="24"/>
          <w:szCs w:val="24"/>
        </w:rPr>
        <w:t xml:space="preserve"> </w:t>
      </w:r>
    </w:p>
    <w:p w14:paraId="1406E08F" w14:textId="37D761FF" w:rsidR="00D11D63" w:rsidRDefault="00730FB1" w:rsidP="009C3B0E">
      <w:pPr>
        <w:pStyle w:val="Naslov3"/>
        <w:numPr>
          <w:ilvl w:val="1"/>
          <w:numId w:val="14"/>
        </w:numPr>
        <w:rPr>
          <w:sz w:val="22"/>
          <w:szCs w:val="22"/>
        </w:rPr>
      </w:pPr>
      <w:bookmarkStart w:id="27" w:name="_Toc90294253"/>
      <w:r>
        <w:rPr>
          <w:sz w:val="22"/>
          <w:szCs w:val="22"/>
        </w:rPr>
        <w:t>TROŠKOVI USLUGA I.</w:t>
      </w:r>
      <w:bookmarkEnd w:id="27"/>
    </w:p>
    <w:tbl>
      <w:tblPr>
        <w:tblW w:w="8800" w:type="dxa"/>
        <w:tblLook w:val="04A0" w:firstRow="1" w:lastRow="0" w:firstColumn="1" w:lastColumn="0" w:noHBand="0" w:noVBand="1"/>
      </w:tblPr>
      <w:tblGrid>
        <w:gridCol w:w="725"/>
        <w:gridCol w:w="4440"/>
        <w:gridCol w:w="1180"/>
        <w:gridCol w:w="1160"/>
        <w:gridCol w:w="1300"/>
      </w:tblGrid>
      <w:tr w:rsidR="009C3B0E" w:rsidRPr="009C3B0E" w14:paraId="310689AF" w14:textId="77777777" w:rsidTr="009C3B0E">
        <w:trPr>
          <w:trHeight w:val="25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2F51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POZICIJA PLANA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10FC93" w14:textId="5033EBF8" w:rsidR="009C3B0E" w:rsidRPr="009C3B0E" w:rsidRDefault="00DD32C5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RASHODI</w:t>
            </w:r>
            <w:r w:rsidR="009C3B0E" w:rsidRPr="009C3B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B6541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PROCJENA OSTVARENJA ZA 2025. g.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1C3E0A7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PLAN ZA 2026.g.                          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8E1D4A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%  PLAN 2026. g./PROCJENA OSTVARENJA ZA 2025.g.</w:t>
            </w:r>
          </w:p>
        </w:tc>
      </w:tr>
      <w:tr w:rsidR="00586F3F" w:rsidRPr="00586F3F" w14:paraId="4C087EF4" w14:textId="77777777" w:rsidTr="00586F3F">
        <w:trPr>
          <w:trHeight w:val="25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27A29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VII.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555528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Troškovi usluga I.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B0A65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689.880,80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DEA2409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563.131,20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52B3D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-18,37%</w:t>
            </w:r>
          </w:p>
        </w:tc>
      </w:tr>
      <w:tr w:rsidR="00586F3F" w:rsidRPr="00586F3F" w14:paraId="5DB95F4F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B2E87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4F3B8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Prijevozničke usluge u cestovnom prometu, cestarine i dr.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AB4A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89620BA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728085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38A5EDC5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A303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8C7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Prijevozničke usluge u pomorskom i riječnom prometu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B309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9C44474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82C3FF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5D4AD022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F7A21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1C7B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Cestarine, mostarine, tunelarine, parking i sl.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6204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8EF0A4B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ACD18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052880AF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F8DF5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AF2B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Troškovi renta car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E32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6B13E65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364A3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27CFA673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D6747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075B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fiksne telefonije i interneta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EB94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878451D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0033CA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7F03D459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149FD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624D" w14:textId="21907668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Usluge mobilne </w:t>
            </w:r>
            <w:r w:rsidR="00617678"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telefonije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F353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C3E785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B7C7F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31B9B0D6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64DB9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818F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Fiskalne blagajne-mreža office 365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0C23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8A9759B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17B72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176A52C6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1D53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D5FCC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Poštanske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0CD27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53FB4C4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AA040D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692ABBD7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6268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115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servisa i rezervni dijelovi sustava parking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1FAF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2B962E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14FC95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42,86%</w:t>
            </w:r>
          </w:p>
        </w:tc>
      </w:tr>
      <w:tr w:rsidR="00586F3F" w:rsidRPr="00586F3F" w14:paraId="6AF77553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50D89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4FFDC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Usluge servisa vozila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7282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DBDF264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08C843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9,09%</w:t>
            </w:r>
          </w:p>
        </w:tc>
      </w:tr>
      <w:tr w:rsidR="00586F3F" w:rsidRPr="00586F3F" w14:paraId="1EB30101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CD9D4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6A6A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Tekuće održavanje RAZNO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3A87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33A149B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351D54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03151E2B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A338B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2D77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Usluge  obrade taho listića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237F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C3F7CE1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690F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24795996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30C72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4D6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Najamnine i zakupnine zgrade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4189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443170A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78E42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6C98D38C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EA0A3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828D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Najamnine i zakupnine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464C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11B9AB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0C294B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7ECA4A33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88FA1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F161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Najam opreme za nadzor vozila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BA34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0C63DEC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426931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57BA249F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D78B8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FDCB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Najam opreme-ostalo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10B25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46955F5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77385C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741699F4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BC3B4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7F00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Najam komunalnog vozila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D5BB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33F1949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9E1C2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-70,59%</w:t>
            </w:r>
          </w:p>
        </w:tc>
      </w:tr>
      <w:tr w:rsidR="00586F3F" w:rsidRPr="00586F3F" w14:paraId="65B358DC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D149D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EF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Usluga servisa opreme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787D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F0E1414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24ED61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5D759D9A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4D9B9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53F7" w14:textId="62C62C51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Najam pisača i </w:t>
            </w:r>
            <w:r w:rsidR="00617678"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konvertitke</w:t>
            </w: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 LASER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08B1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FFD3F9A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DAD7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58592E43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C0D31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C80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reklame i promidžbe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62FF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1A2C22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FF3321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25,00%</w:t>
            </w:r>
          </w:p>
        </w:tc>
      </w:tr>
      <w:tr w:rsidR="00586F3F" w:rsidRPr="00586F3F" w14:paraId="3BBA63C7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09FCC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F3EAF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Zbrinjavanje životinjskih nusproizvoda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96D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37C8D94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5032D1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0DB10546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299B0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F152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Vulkanizerske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9E58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DF381B8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42AF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692C4749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4031A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F0E3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zbrinjavanja otpadnih ulja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F248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65B8860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BAB02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28DDE709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7BA5F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C35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odvoza i zbrinjavanja otpadnih 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1418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889CA8F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2CDB17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1B5EB409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50A67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EBDB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Komunalne usluge-deponij ispitivanja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139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72A4CD3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9.290,60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1E582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3AA4D307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D8C9F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70F3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rovokopača i strojna asistencija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F52A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0A7732C3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E328E7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6623860E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0745B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A578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demontaže polupodezemnih spremnika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C157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1.080,00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819EACA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12C77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59E8E0E7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AA318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D20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Uređenje platoa na lokacijama Brigi Lokvice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DEDD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E2A7DFB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FDAC7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71B61F47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8EB3D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55D8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Usluga asfaltiranja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B9C5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350771C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F63E05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35220674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AE259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5E67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Uređenje lokacije   parkirališta T1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68D0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2E5D3C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FA0F1A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2E8CE6C3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E57D8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F327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Usluge zasipanja deponija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F868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6.209,60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38E946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E13A77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27F536EA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D804F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3CC0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Građevinski radovi ostalo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7AE1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AD1B725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BE321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0F537678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88541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C4B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Radovi na postavljanju javne rasvjete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5981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40D661A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2F525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-55,56%</w:t>
            </w:r>
          </w:p>
        </w:tc>
      </w:tr>
      <w:tr w:rsidR="00586F3F" w:rsidRPr="00586F3F" w14:paraId="4AFCA6CA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48DE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5BCA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Informatičke usluge-podrška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26C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6477F2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6F974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10,00%</w:t>
            </w:r>
          </w:p>
        </w:tc>
      </w:tr>
      <w:tr w:rsidR="00586F3F" w:rsidRPr="00586F3F" w14:paraId="61AD2BC0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77071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8FD2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Usluga košnje trave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2CEE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3.460,00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3435E6F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A9619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797EC73B" w14:textId="77777777" w:rsidTr="00586F3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44974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C5C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Ostale  usluge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2695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906D9F4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4257C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2D043A1E" w14:textId="77777777" w:rsidTr="00586F3F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E23B0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D727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Deratizacija i dezinsekcija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C032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C6F0D82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64224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86F3F" w:rsidRPr="00586F3F" w14:paraId="06DE89AB" w14:textId="77777777" w:rsidTr="00586F3F">
        <w:trPr>
          <w:trHeight w:val="24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65EFA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5AA3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Naknada Fondu za zaštitu okoliša za odlagalište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F370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189AC976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F6912" w14:textId="77777777" w:rsidR="00586F3F" w:rsidRPr="00586F3F" w:rsidRDefault="00586F3F" w:rsidP="00586F3F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586F3F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-38,89%</w:t>
            </w:r>
          </w:p>
        </w:tc>
      </w:tr>
    </w:tbl>
    <w:p w14:paraId="68935ECB" w14:textId="1FC70CE4" w:rsidR="00D11D63" w:rsidRDefault="00137FED">
      <w:pPr>
        <w:pStyle w:val="Opisslike"/>
      </w:pPr>
      <w:r>
        <w:t xml:space="preserve">Tablica VIII </w:t>
      </w:r>
      <w:r>
        <w:rPr>
          <w:b w:val="0"/>
          <w:bCs w:val="0"/>
          <w:i/>
          <w:iCs/>
        </w:rPr>
        <w:t>plan strukture troškova usluga i</w:t>
      </w:r>
      <w:r w:rsidR="00730FB1"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</w:rPr>
        <w:t xml:space="preserve"> za 202</w:t>
      </w:r>
      <w:r w:rsidR="00321760">
        <w:rPr>
          <w:b w:val="0"/>
          <w:bCs w:val="0"/>
          <w:i/>
          <w:iCs/>
        </w:rPr>
        <w:t>6</w:t>
      </w:r>
      <w:r>
        <w:rPr>
          <w:b w:val="0"/>
          <w:bCs w:val="0"/>
          <w:i/>
          <w:iCs/>
        </w:rPr>
        <w:t>.g.</w:t>
      </w:r>
    </w:p>
    <w:p w14:paraId="73368880" w14:textId="60817DF1" w:rsidR="00D11D63" w:rsidRDefault="00137FED" w:rsidP="00EA6693">
      <w:pPr>
        <w:spacing w:before="16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 tablici  troškova usluga I. iskazani su planirani troškovi radova i usluga  </w:t>
      </w:r>
      <w:r w:rsidR="00586F3F">
        <w:rPr>
          <w:sz w:val="24"/>
          <w:szCs w:val="24"/>
        </w:rPr>
        <w:t xml:space="preserve">planirano u manjem iznosu za 18,37 % u odnosu na 2025. godinu. </w:t>
      </w:r>
      <w:r>
        <w:rPr>
          <w:sz w:val="24"/>
          <w:szCs w:val="24"/>
        </w:rPr>
        <w:t xml:space="preserve">Uvođenje naknade za odlaganje otpada na deponiju od strane Fonda za zaštitu okoliša  u iznosu od 30,00 EUR / toni  od 01.01.2025. godine </w:t>
      </w:r>
      <w:r w:rsidR="00321760">
        <w:rPr>
          <w:sz w:val="24"/>
          <w:szCs w:val="24"/>
        </w:rPr>
        <w:t xml:space="preserve">,a u 2026. godini u iznosu od 35,00 EUR /toni </w:t>
      </w:r>
      <w:r>
        <w:rPr>
          <w:sz w:val="24"/>
          <w:szCs w:val="24"/>
        </w:rPr>
        <w:t xml:space="preserve">znatno </w:t>
      </w:r>
      <w:r w:rsidR="00321760">
        <w:rPr>
          <w:sz w:val="24"/>
          <w:szCs w:val="24"/>
        </w:rPr>
        <w:t>i dalje</w:t>
      </w:r>
      <w:r w:rsidR="00586F3F">
        <w:rPr>
          <w:sz w:val="24"/>
          <w:szCs w:val="24"/>
        </w:rPr>
        <w:t xml:space="preserve"> sudjeluje u ukupnoj strukturi troškova . Zbog  popunjenosti kapaciteta odlagališta otpada u 2026. godini planirane su i umanjene količine odloženog otpada, a time i manji iznos troška za 38,89 %.</w:t>
      </w:r>
    </w:p>
    <w:p w14:paraId="7343D751" w14:textId="77777777" w:rsidR="00CD3350" w:rsidRDefault="00CD3350" w:rsidP="00EA6693">
      <w:pPr>
        <w:spacing w:before="160" w:after="0"/>
        <w:contextualSpacing/>
        <w:rPr>
          <w:sz w:val="24"/>
          <w:szCs w:val="24"/>
        </w:rPr>
      </w:pPr>
    </w:p>
    <w:p w14:paraId="2F6215DA" w14:textId="7C69E1C6" w:rsidR="00D11D63" w:rsidRDefault="00730FB1" w:rsidP="00730FB1">
      <w:pPr>
        <w:pStyle w:val="Naslov3"/>
      </w:pPr>
      <w:bookmarkStart w:id="28" w:name="_Toc90294254"/>
      <w:r>
        <w:t>5.3.TROŠKOVI USLUGA II.</w:t>
      </w:r>
      <w:bookmarkEnd w:id="28"/>
    </w:p>
    <w:tbl>
      <w:tblPr>
        <w:tblW w:w="8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5"/>
        <w:gridCol w:w="4440"/>
        <w:gridCol w:w="1180"/>
        <w:gridCol w:w="1180"/>
        <w:gridCol w:w="1300"/>
      </w:tblGrid>
      <w:tr w:rsidR="009C3B0E" w:rsidRPr="009C3B0E" w14:paraId="0AB4AB0A" w14:textId="77777777" w:rsidTr="009C3B0E">
        <w:trPr>
          <w:trHeight w:val="25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4A1CB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POZICIJA PLANA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FDB8A" w14:textId="619EDBD0" w:rsidR="009C3B0E" w:rsidRPr="009C3B0E" w:rsidRDefault="00DD32C5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R A S H O D I</w:t>
            </w:r>
            <w:r w:rsidR="009C3B0E" w:rsidRPr="009C3B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5FB19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PROCJENA OSTVARENJA ZA 2025. g.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219ED03E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PLAN ZA 2026.g.                           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78C0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%  PLAN 2026. g./PROCJENA OSTVARENJA ZA 2025.g.</w:t>
            </w:r>
          </w:p>
        </w:tc>
      </w:tr>
      <w:tr w:rsidR="009C3B0E" w:rsidRPr="009C3B0E" w14:paraId="5996453D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5BA0C34B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VIII.</w:t>
            </w:r>
          </w:p>
        </w:tc>
        <w:tc>
          <w:tcPr>
            <w:tcW w:w="4440" w:type="dxa"/>
            <w:noWrap/>
            <w:vAlign w:val="center"/>
            <w:hideMark/>
          </w:tcPr>
          <w:p w14:paraId="41710B02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Troškovi usluga II.</w:t>
            </w:r>
          </w:p>
        </w:tc>
        <w:tc>
          <w:tcPr>
            <w:tcW w:w="1180" w:type="dxa"/>
            <w:noWrap/>
            <w:vAlign w:val="center"/>
            <w:hideMark/>
          </w:tcPr>
          <w:p w14:paraId="28C021B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952.088,63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6DDB63F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1.038.584,23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496004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9,08%</w:t>
            </w:r>
          </w:p>
        </w:tc>
      </w:tr>
      <w:tr w:rsidR="009C3B0E" w:rsidRPr="009C3B0E" w14:paraId="002C42A3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74EB28F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440" w:type="dxa"/>
            <w:noWrap/>
            <w:vAlign w:val="center"/>
            <w:hideMark/>
          </w:tcPr>
          <w:p w14:paraId="7C90B7CB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Zdravstveni pregledi radnika</w:t>
            </w:r>
          </w:p>
        </w:tc>
        <w:tc>
          <w:tcPr>
            <w:tcW w:w="1180" w:type="dxa"/>
            <w:noWrap/>
            <w:vAlign w:val="center"/>
            <w:hideMark/>
          </w:tcPr>
          <w:p w14:paraId="56E7DC02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17F01CE9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191C47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233,33%</w:t>
            </w:r>
          </w:p>
        </w:tc>
      </w:tr>
      <w:tr w:rsidR="009C3B0E" w:rsidRPr="009C3B0E" w14:paraId="72D0138D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3D051C7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440" w:type="dxa"/>
            <w:noWrap/>
            <w:vAlign w:val="center"/>
            <w:hideMark/>
          </w:tcPr>
          <w:p w14:paraId="0822C6E0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Usluga sistematskih pregleda </w:t>
            </w:r>
          </w:p>
        </w:tc>
        <w:tc>
          <w:tcPr>
            <w:tcW w:w="1180" w:type="dxa"/>
            <w:noWrap/>
            <w:vAlign w:val="center"/>
            <w:hideMark/>
          </w:tcPr>
          <w:p w14:paraId="39342A9C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21537518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9BFEC1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15DC7412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338AFE1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40" w:type="dxa"/>
            <w:noWrap/>
            <w:vAlign w:val="center"/>
            <w:hideMark/>
          </w:tcPr>
          <w:p w14:paraId="76426130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Veterinarske usluge pristojba za kontrolu hrane  T i R</w:t>
            </w:r>
          </w:p>
        </w:tc>
        <w:tc>
          <w:tcPr>
            <w:tcW w:w="1180" w:type="dxa"/>
            <w:noWrap/>
            <w:vAlign w:val="center"/>
            <w:hideMark/>
          </w:tcPr>
          <w:p w14:paraId="6B976E6A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2B73BBA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1F2420C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404EC1FE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455D825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440" w:type="dxa"/>
            <w:noWrap/>
            <w:vAlign w:val="center"/>
            <w:hideMark/>
          </w:tcPr>
          <w:p w14:paraId="2F5F5A5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Naknade za usluge banaka i usl.za plat.promet i javni bilj.</w:t>
            </w:r>
          </w:p>
        </w:tc>
        <w:tc>
          <w:tcPr>
            <w:tcW w:w="1180" w:type="dxa"/>
            <w:noWrap/>
            <w:vAlign w:val="center"/>
            <w:hideMark/>
          </w:tcPr>
          <w:p w14:paraId="7818AD2A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65B818FE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2A3C879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7,69%</w:t>
            </w:r>
          </w:p>
        </w:tc>
      </w:tr>
      <w:tr w:rsidR="009C3B0E" w:rsidRPr="009C3B0E" w14:paraId="433D456A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287506AA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440" w:type="dxa"/>
            <w:noWrap/>
            <w:vAlign w:val="center"/>
            <w:hideMark/>
          </w:tcPr>
          <w:p w14:paraId="2C8D75FC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pravnog savjetovanja</w:t>
            </w:r>
          </w:p>
        </w:tc>
        <w:tc>
          <w:tcPr>
            <w:tcW w:w="1180" w:type="dxa"/>
            <w:noWrap/>
            <w:vAlign w:val="center"/>
            <w:hideMark/>
          </w:tcPr>
          <w:p w14:paraId="49F4104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332225F3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016BC29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-25,00%</w:t>
            </w:r>
          </w:p>
        </w:tc>
      </w:tr>
      <w:tr w:rsidR="009C3B0E" w:rsidRPr="009C3B0E" w14:paraId="0A72C9A4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209CC927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440" w:type="dxa"/>
            <w:noWrap/>
            <w:vAlign w:val="center"/>
            <w:hideMark/>
          </w:tcPr>
          <w:p w14:paraId="39DDA83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odvjetnika za zastupanje</w:t>
            </w:r>
          </w:p>
        </w:tc>
        <w:tc>
          <w:tcPr>
            <w:tcW w:w="1180" w:type="dxa"/>
            <w:noWrap/>
            <w:vAlign w:val="center"/>
            <w:hideMark/>
          </w:tcPr>
          <w:p w14:paraId="078C52E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2D543AFC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367A6B2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683D2C56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70AE5D49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440" w:type="dxa"/>
            <w:noWrap/>
            <w:vAlign w:val="center"/>
            <w:hideMark/>
          </w:tcPr>
          <w:p w14:paraId="6C3DA903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Revizorske usluge</w:t>
            </w:r>
          </w:p>
        </w:tc>
        <w:tc>
          <w:tcPr>
            <w:tcW w:w="1180" w:type="dxa"/>
            <w:noWrap/>
            <w:vAlign w:val="center"/>
            <w:hideMark/>
          </w:tcPr>
          <w:p w14:paraId="1489BCB9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0319B697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4.800,00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C7E66D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57D2934B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0DDAE05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4440" w:type="dxa"/>
            <w:noWrap/>
            <w:vAlign w:val="center"/>
            <w:hideMark/>
          </w:tcPr>
          <w:p w14:paraId="20DD0C8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zaštite objekata</w:t>
            </w:r>
          </w:p>
        </w:tc>
        <w:tc>
          <w:tcPr>
            <w:tcW w:w="1180" w:type="dxa"/>
            <w:noWrap/>
            <w:vAlign w:val="center"/>
            <w:hideMark/>
          </w:tcPr>
          <w:p w14:paraId="5B363CE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134.580,00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4ACA798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139.775,60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4A4F833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3,86%</w:t>
            </w:r>
          </w:p>
        </w:tc>
      </w:tr>
      <w:tr w:rsidR="009C3B0E" w:rsidRPr="009C3B0E" w14:paraId="2A135118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44698B1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440" w:type="dxa"/>
            <w:noWrap/>
            <w:vAlign w:val="center"/>
            <w:hideMark/>
          </w:tcPr>
          <w:p w14:paraId="200B0D2A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zaštite na radu</w:t>
            </w:r>
          </w:p>
        </w:tc>
        <w:tc>
          <w:tcPr>
            <w:tcW w:w="1180" w:type="dxa"/>
            <w:noWrap/>
            <w:vAlign w:val="center"/>
            <w:hideMark/>
          </w:tcPr>
          <w:p w14:paraId="6304C31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48BE6550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B417AD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260,00%</w:t>
            </w:r>
          </w:p>
        </w:tc>
      </w:tr>
      <w:tr w:rsidR="009C3B0E" w:rsidRPr="009C3B0E" w14:paraId="2D1913D0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421AD345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4440" w:type="dxa"/>
            <w:noWrap/>
            <w:vAlign w:val="center"/>
            <w:hideMark/>
          </w:tcPr>
          <w:p w14:paraId="1A27D7D5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Premije osiguranja vozila, imovine i djelatnika.</w:t>
            </w:r>
          </w:p>
        </w:tc>
        <w:tc>
          <w:tcPr>
            <w:tcW w:w="1180" w:type="dxa"/>
            <w:noWrap/>
            <w:vAlign w:val="center"/>
            <w:hideMark/>
          </w:tcPr>
          <w:p w14:paraId="058FD11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7954F023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A8D62EE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12,50%</w:t>
            </w:r>
          </w:p>
        </w:tc>
      </w:tr>
      <w:tr w:rsidR="009C3B0E" w:rsidRPr="009C3B0E" w14:paraId="468D7824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3619D3C0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440" w:type="dxa"/>
            <w:noWrap/>
            <w:vAlign w:val="center"/>
            <w:hideMark/>
          </w:tcPr>
          <w:p w14:paraId="17DD47A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Troškovi izrade horiz. signalizacije na parkiralištima</w:t>
            </w:r>
          </w:p>
        </w:tc>
        <w:tc>
          <w:tcPr>
            <w:tcW w:w="1180" w:type="dxa"/>
            <w:noWrap/>
            <w:vAlign w:val="center"/>
            <w:hideMark/>
          </w:tcPr>
          <w:p w14:paraId="1F121EB8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15313EE8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D46F76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2FDD71DC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3C46DB7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4440" w:type="dxa"/>
            <w:noWrap/>
            <w:vAlign w:val="center"/>
            <w:hideMark/>
          </w:tcPr>
          <w:p w14:paraId="055F1F28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Tehnički i periodički pregled vozila </w:t>
            </w:r>
          </w:p>
        </w:tc>
        <w:tc>
          <w:tcPr>
            <w:tcW w:w="1180" w:type="dxa"/>
            <w:noWrap/>
            <w:vAlign w:val="center"/>
            <w:hideMark/>
          </w:tcPr>
          <w:p w14:paraId="2D3B05B8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15.200,00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4C57228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15.200,00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5D5A310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3C6E44D2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5D65BE9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4440" w:type="dxa"/>
            <w:noWrap/>
            <w:vAlign w:val="center"/>
            <w:hideMark/>
          </w:tcPr>
          <w:p w14:paraId="234E87F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Naknade za korištenje ostalih prava , mediji</w:t>
            </w:r>
          </w:p>
        </w:tc>
        <w:tc>
          <w:tcPr>
            <w:tcW w:w="1180" w:type="dxa"/>
            <w:noWrap/>
            <w:vAlign w:val="center"/>
            <w:hideMark/>
          </w:tcPr>
          <w:p w14:paraId="16C3F7E3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7709866B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376B799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208F99F1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6D52F6C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4440" w:type="dxa"/>
            <w:noWrap/>
            <w:vAlign w:val="center"/>
            <w:hideMark/>
          </w:tcPr>
          <w:p w14:paraId="22D1AC2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Naknada za upravljanje i korištenje grad. parkirališta</w:t>
            </w:r>
          </w:p>
        </w:tc>
        <w:tc>
          <w:tcPr>
            <w:tcW w:w="1180" w:type="dxa"/>
            <w:noWrap/>
            <w:vAlign w:val="center"/>
            <w:hideMark/>
          </w:tcPr>
          <w:p w14:paraId="60C6EE45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4AAFC88C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145.600,00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4AD89E3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12,00%</w:t>
            </w:r>
          </w:p>
        </w:tc>
      </w:tr>
      <w:tr w:rsidR="009C3B0E" w:rsidRPr="009C3B0E" w14:paraId="6333F172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4011692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4440" w:type="dxa"/>
            <w:noWrap/>
            <w:vAlign w:val="center"/>
            <w:hideMark/>
          </w:tcPr>
          <w:p w14:paraId="76FCA6C8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Koncesijska naknada - LUČKA UPRAVA</w:t>
            </w:r>
          </w:p>
        </w:tc>
        <w:tc>
          <w:tcPr>
            <w:tcW w:w="1180" w:type="dxa"/>
            <w:noWrap/>
            <w:vAlign w:val="center"/>
            <w:hideMark/>
          </w:tcPr>
          <w:p w14:paraId="559732C7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2483DA5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15BA0C7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4,00%</w:t>
            </w:r>
          </w:p>
        </w:tc>
      </w:tr>
      <w:tr w:rsidR="009C3B0E" w:rsidRPr="009C3B0E" w14:paraId="3C74F127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5AC285B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4440" w:type="dxa"/>
            <w:noWrap/>
            <w:vAlign w:val="center"/>
            <w:hideMark/>
          </w:tcPr>
          <w:p w14:paraId="738FCAF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Komunalna naknada i doprinosi</w:t>
            </w:r>
          </w:p>
        </w:tc>
        <w:tc>
          <w:tcPr>
            <w:tcW w:w="1180" w:type="dxa"/>
            <w:noWrap/>
            <w:vAlign w:val="center"/>
            <w:hideMark/>
          </w:tcPr>
          <w:p w14:paraId="6E6B372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38.500,00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222EEA7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46.200,00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CE6C733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20,00%</w:t>
            </w:r>
          </w:p>
        </w:tc>
      </w:tr>
      <w:tr w:rsidR="009C3B0E" w:rsidRPr="009C3B0E" w14:paraId="601CCAA9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6D54484C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4440" w:type="dxa"/>
            <w:noWrap/>
            <w:vAlign w:val="center"/>
            <w:hideMark/>
          </w:tcPr>
          <w:p w14:paraId="5566715C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Vodna naknada</w:t>
            </w:r>
          </w:p>
        </w:tc>
        <w:tc>
          <w:tcPr>
            <w:tcW w:w="1180" w:type="dxa"/>
            <w:noWrap/>
            <w:vAlign w:val="center"/>
            <w:hideMark/>
          </w:tcPr>
          <w:p w14:paraId="5617CA09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69AE9F85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B2AB2D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27D2F102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4B979155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4440" w:type="dxa"/>
            <w:noWrap/>
            <w:vAlign w:val="center"/>
            <w:hideMark/>
          </w:tcPr>
          <w:p w14:paraId="10AF3EDA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održavanja software-a LIBUSOFT</w:t>
            </w:r>
          </w:p>
        </w:tc>
        <w:tc>
          <w:tcPr>
            <w:tcW w:w="1180" w:type="dxa"/>
            <w:noWrap/>
            <w:vAlign w:val="center"/>
            <w:hideMark/>
          </w:tcPr>
          <w:p w14:paraId="2E0AE3EC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72D6AD72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0C8F10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12,07%</w:t>
            </w:r>
          </w:p>
        </w:tc>
      </w:tr>
      <w:tr w:rsidR="009C3B0E" w:rsidRPr="009C3B0E" w14:paraId="5618E036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6274A94C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4440" w:type="dxa"/>
            <w:noWrap/>
            <w:vAlign w:val="center"/>
            <w:hideMark/>
          </w:tcPr>
          <w:p w14:paraId="308FC51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održavanja software-a  PAUK-RING</w:t>
            </w:r>
          </w:p>
        </w:tc>
        <w:tc>
          <w:tcPr>
            <w:tcW w:w="1180" w:type="dxa"/>
            <w:noWrap/>
            <w:vAlign w:val="center"/>
            <w:hideMark/>
          </w:tcPr>
          <w:p w14:paraId="1687EBB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5.501,40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776A19A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5.501,40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C66FD8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7CDC3626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135E4BF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4440" w:type="dxa"/>
            <w:noWrap/>
            <w:vAlign w:val="center"/>
            <w:hideMark/>
          </w:tcPr>
          <w:p w14:paraId="2395F09E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održavanja software-a - SMARTNET</w:t>
            </w:r>
          </w:p>
        </w:tc>
        <w:tc>
          <w:tcPr>
            <w:tcW w:w="1180" w:type="dxa"/>
            <w:noWrap/>
            <w:vAlign w:val="center"/>
            <w:hideMark/>
          </w:tcPr>
          <w:p w14:paraId="4A3CB0B8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15545C1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05D7847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10,00%</w:t>
            </w:r>
          </w:p>
        </w:tc>
      </w:tr>
      <w:tr w:rsidR="009C3B0E" w:rsidRPr="009C3B0E" w14:paraId="2D3C881A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2716416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4440" w:type="dxa"/>
            <w:noWrap/>
            <w:vAlign w:val="center"/>
            <w:hideMark/>
          </w:tcPr>
          <w:p w14:paraId="1BD7A79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održavanja software-a - PARKIS RAO</w:t>
            </w:r>
          </w:p>
        </w:tc>
        <w:tc>
          <w:tcPr>
            <w:tcW w:w="1180" w:type="dxa"/>
            <w:noWrap/>
            <w:vAlign w:val="center"/>
            <w:hideMark/>
          </w:tcPr>
          <w:p w14:paraId="3B462FC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8.300,00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0EA3441A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8.300,00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878616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1942B8C6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063E1A53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4440" w:type="dxa"/>
            <w:noWrap/>
            <w:vAlign w:val="center"/>
            <w:hideMark/>
          </w:tcPr>
          <w:p w14:paraId="1784A39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Usluge održavanja sustava  M.parking </w:t>
            </w:r>
          </w:p>
        </w:tc>
        <w:tc>
          <w:tcPr>
            <w:tcW w:w="1180" w:type="dxa"/>
            <w:noWrap/>
            <w:vAlign w:val="center"/>
            <w:hideMark/>
          </w:tcPr>
          <w:p w14:paraId="5683BB1B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16ADD4F3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5CF357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45F32804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2FB753A8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4440" w:type="dxa"/>
            <w:noWrap/>
            <w:vAlign w:val="center"/>
            <w:hideMark/>
          </w:tcPr>
          <w:p w14:paraId="271111B3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održavanja sustava Wastecontrol</w:t>
            </w:r>
          </w:p>
        </w:tc>
        <w:tc>
          <w:tcPr>
            <w:tcW w:w="1180" w:type="dxa"/>
            <w:noWrap/>
            <w:vAlign w:val="center"/>
            <w:hideMark/>
          </w:tcPr>
          <w:p w14:paraId="54E0C64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4.380,00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4E24AD13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4.380,00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0108CB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0B9D50E7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1C52EBB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4440" w:type="dxa"/>
            <w:noWrap/>
            <w:vAlign w:val="center"/>
            <w:hideMark/>
          </w:tcPr>
          <w:p w14:paraId="342958D2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održavanja sustava -dojavni sus.ST L.</w:t>
            </w:r>
          </w:p>
        </w:tc>
        <w:tc>
          <w:tcPr>
            <w:tcW w:w="1180" w:type="dxa"/>
            <w:noWrap/>
            <w:vAlign w:val="center"/>
            <w:hideMark/>
          </w:tcPr>
          <w:p w14:paraId="3141308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2CEE91E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75FA72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26D15E17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2D356272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4440" w:type="dxa"/>
            <w:noWrap/>
            <w:vAlign w:val="center"/>
            <w:hideMark/>
          </w:tcPr>
          <w:p w14:paraId="740E6F8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održavanja sustava  AXIOM,</w:t>
            </w:r>
          </w:p>
        </w:tc>
        <w:tc>
          <w:tcPr>
            <w:tcW w:w="1180" w:type="dxa"/>
            <w:noWrap/>
            <w:vAlign w:val="center"/>
            <w:hideMark/>
          </w:tcPr>
          <w:p w14:paraId="68DA60A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1CBA6D7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7071C3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4B0AEE30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49136D79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4440" w:type="dxa"/>
            <w:noWrap/>
            <w:vAlign w:val="center"/>
            <w:hideMark/>
          </w:tcPr>
          <w:p w14:paraId="095BA1F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održavanja sustava parking -ECCOS</w:t>
            </w:r>
          </w:p>
        </w:tc>
        <w:tc>
          <w:tcPr>
            <w:tcW w:w="1180" w:type="dxa"/>
            <w:noWrap/>
            <w:vAlign w:val="center"/>
            <w:hideMark/>
          </w:tcPr>
          <w:p w14:paraId="1B62110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1C33C9CE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19.800,00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9D1A74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10,00%</w:t>
            </w:r>
          </w:p>
        </w:tc>
      </w:tr>
      <w:tr w:rsidR="009C3B0E" w:rsidRPr="009C3B0E" w14:paraId="3370E1AF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7D608565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lastRenderedPageBreak/>
              <w:t>27</w:t>
            </w:r>
          </w:p>
        </w:tc>
        <w:tc>
          <w:tcPr>
            <w:tcW w:w="4440" w:type="dxa"/>
            <w:noWrap/>
            <w:vAlign w:val="center"/>
            <w:hideMark/>
          </w:tcPr>
          <w:p w14:paraId="7AEA6B59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održavanje sustava evidencije sak.otp</w:t>
            </w:r>
          </w:p>
        </w:tc>
        <w:tc>
          <w:tcPr>
            <w:tcW w:w="1180" w:type="dxa"/>
            <w:noWrap/>
            <w:vAlign w:val="center"/>
            <w:hideMark/>
          </w:tcPr>
          <w:p w14:paraId="0E2538A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44FC551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F58F9B9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1D22427D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0C8EC840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4440" w:type="dxa"/>
            <w:noWrap/>
            <w:vAlign w:val="center"/>
            <w:hideMark/>
          </w:tcPr>
          <w:p w14:paraId="5CA4F246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održavanja sustava za fiskalizaciju i mreže</w:t>
            </w:r>
          </w:p>
        </w:tc>
        <w:tc>
          <w:tcPr>
            <w:tcW w:w="1180" w:type="dxa"/>
            <w:noWrap/>
            <w:vAlign w:val="center"/>
            <w:hideMark/>
          </w:tcPr>
          <w:p w14:paraId="3EEF5C05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7FA9F79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68B680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0E16D167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465D718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4440" w:type="dxa"/>
            <w:noWrap/>
            <w:vAlign w:val="center"/>
            <w:hideMark/>
          </w:tcPr>
          <w:p w14:paraId="09D82F45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Geodetske usluge</w:t>
            </w:r>
          </w:p>
        </w:tc>
        <w:tc>
          <w:tcPr>
            <w:tcW w:w="1180" w:type="dxa"/>
            <w:noWrap/>
            <w:vAlign w:val="center"/>
            <w:hideMark/>
          </w:tcPr>
          <w:p w14:paraId="459A0F88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4252A75A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7EB047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11409972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1C6C084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4440" w:type="dxa"/>
            <w:noWrap/>
            <w:vAlign w:val="center"/>
            <w:hideMark/>
          </w:tcPr>
          <w:p w14:paraId="7785630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 xml:space="preserve">Bravarske usluge </w:t>
            </w:r>
          </w:p>
        </w:tc>
        <w:tc>
          <w:tcPr>
            <w:tcW w:w="1180" w:type="dxa"/>
            <w:noWrap/>
            <w:vAlign w:val="center"/>
            <w:hideMark/>
          </w:tcPr>
          <w:p w14:paraId="5335E7D3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560B7E77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1FF7BE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45E41E17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764B660E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440" w:type="dxa"/>
            <w:noWrap/>
            <w:vAlign w:val="center"/>
            <w:hideMark/>
          </w:tcPr>
          <w:p w14:paraId="45971767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blagdansko ukrašavanje</w:t>
            </w:r>
          </w:p>
        </w:tc>
        <w:tc>
          <w:tcPr>
            <w:tcW w:w="1180" w:type="dxa"/>
            <w:noWrap/>
            <w:vAlign w:val="center"/>
            <w:hideMark/>
          </w:tcPr>
          <w:p w14:paraId="5069AF0C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016D3708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5E4CEF3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15,38%</w:t>
            </w:r>
          </w:p>
        </w:tc>
      </w:tr>
      <w:tr w:rsidR="009C3B0E" w:rsidRPr="009C3B0E" w14:paraId="0E5499FF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5B63272E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440" w:type="dxa"/>
            <w:noWrap/>
            <w:vAlign w:val="center"/>
            <w:hideMark/>
          </w:tcPr>
          <w:p w14:paraId="05E2ECDA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Usluga zbrinjavanje  glom.otpada</w:t>
            </w:r>
          </w:p>
        </w:tc>
        <w:tc>
          <w:tcPr>
            <w:tcW w:w="1180" w:type="dxa"/>
            <w:noWrap/>
            <w:vAlign w:val="center"/>
            <w:hideMark/>
          </w:tcPr>
          <w:p w14:paraId="6DA5123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70B838C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666BC59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3,70%</w:t>
            </w:r>
          </w:p>
        </w:tc>
      </w:tr>
      <w:tr w:rsidR="009C3B0E" w:rsidRPr="009C3B0E" w14:paraId="2415A605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5EA4822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4440" w:type="dxa"/>
            <w:noWrap/>
            <w:vAlign w:val="center"/>
            <w:hideMark/>
          </w:tcPr>
          <w:p w14:paraId="682327E7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Usluga zbrinjavanja građevinskog otpada</w:t>
            </w:r>
          </w:p>
        </w:tc>
        <w:tc>
          <w:tcPr>
            <w:tcW w:w="1180" w:type="dxa"/>
            <w:noWrap/>
            <w:vAlign w:val="center"/>
            <w:hideMark/>
          </w:tcPr>
          <w:p w14:paraId="27BEB92A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13.200,00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5AD2377B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DA73E80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13,64%</w:t>
            </w:r>
          </w:p>
        </w:tc>
      </w:tr>
      <w:tr w:rsidR="009C3B0E" w:rsidRPr="009C3B0E" w14:paraId="6DB11FC0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6D8EC868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440" w:type="dxa"/>
            <w:noWrap/>
            <w:vAlign w:val="center"/>
            <w:hideMark/>
          </w:tcPr>
          <w:p w14:paraId="19AB3FA2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Usluga odvoza i zbrinjavanja ambal. Otp.</w:t>
            </w:r>
          </w:p>
        </w:tc>
        <w:tc>
          <w:tcPr>
            <w:tcW w:w="1180" w:type="dxa"/>
            <w:noWrap/>
            <w:vAlign w:val="center"/>
            <w:hideMark/>
          </w:tcPr>
          <w:p w14:paraId="59B4FB72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0F1F3D34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C7B9FE0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20,00%</w:t>
            </w:r>
          </w:p>
        </w:tc>
      </w:tr>
      <w:tr w:rsidR="009C3B0E" w:rsidRPr="009C3B0E" w14:paraId="72377E25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22D69569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440" w:type="dxa"/>
            <w:noWrap/>
            <w:vAlign w:val="center"/>
            <w:hideMark/>
          </w:tcPr>
          <w:p w14:paraId="1D2E91F9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Intelektulane usluge</w:t>
            </w:r>
          </w:p>
        </w:tc>
        <w:tc>
          <w:tcPr>
            <w:tcW w:w="1180" w:type="dxa"/>
            <w:noWrap/>
            <w:vAlign w:val="center"/>
            <w:hideMark/>
          </w:tcPr>
          <w:p w14:paraId="1EA2B31C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62BDEEBE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B7CEA5B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C3B0E" w:rsidRPr="009C3B0E" w14:paraId="5107CB29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55EF5085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440" w:type="dxa"/>
            <w:noWrap/>
            <w:vAlign w:val="center"/>
            <w:hideMark/>
          </w:tcPr>
          <w:p w14:paraId="58F0DA8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Grafičke usluge i tiskarske usluge</w:t>
            </w:r>
          </w:p>
        </w:tc>
        <w:tc>
          <w:tcPr>
            <w:tcW w:w="1180" w:type="dxa"/>
            <w:noWrap/>
            <w:vAlign w:val="center"/>
            <w:hideMark/>
          </w:tcPr>
          <w:p w14:paraId="2AFD4411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512908C8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E42BADF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42,86%</w:t>
            </w:r>
          </w:p>
        </w:tc>
      </w:tr>
      <w:tr w:rsidR="009C3B0E" w:rsidRPr="009C3B0E" w14:paraId="4AC50B70" w14:textId="77777777" w:rsidTr="009C3B0E">
        <w:trPr>
          <w:trHeight w:val="255"/>
        </w:trPr>
        <w:tc>
          <w:tcPr>
            <w:tcW w:w="720" w:type="dxa"/>
            <w:shd w:val="clear" w:color="000000" w:fill="FFFFFF"/>
            <w:noWrap/>
            <w:vAlign w:val="center"/>
            <w:hideMark/>
          </w:tcPr>
          <w:p w14:paraId="3309CF0B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440" w:type="dxa"/>
            <w:noWrap/>
            <w:vAlign w:val="center"/>
            <w:hideMark/>
          </w:tcPr>
          <w:p w14:paraId="1A58A919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Ostale komunalne usluge</w:t>
            </w:r>
          </w:p>
        </w:tc>
        <w:tc>
          <w:tcPr>
            <w:tcW w:w="1180" w:type="dxa"/>
            <w:noWrap/>
            <w:vAlign w:val="center"/>
            <w:hideMark/>
          </w:tcPr>
          <w:p w14:paraId="565BDE3A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180" w:type="dxa"/>
            <w:shd w:val="clear" w:color="000000" w:fill="92D050"/>
            <w:noWrap/>
            <w:vAlign w:val="center"/>
            <w:hideMark/>
          </w:tcPr>
          <w:p w14:paraId="1D692F1D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7412F6B" w14:textId="77777777" w:rsidR="009C3B0E" w:rsidRPr="009C3B0E" w:rsidRDefault="009C3B0E" w:rsidP="009C3B0E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</w:tbl>
    <w:p w14:paraId="6FBF50C5" w14:textId="28EEC7D1" w:rsidR="00D11D63" w:rsidRPr="009C3B0E" w:rsidRDefault="00137FED">
      <w:pPr>
        <w:pStyle w:val="Opisslike"/>
        <w:rPr>
          <w:b w:val="0"/>
          <w:bCs w:val="0"/>
          <w:i/>
          <w:iCs/>
        </w:rPr>
      </w:pPr>
      <w:r>
        <w:t xml:space="preserve">Tablica IX   </w:t>
      </w:r>
      <w:r>
        <w:rPr>
          <w:b w:val="0"/>
          <w:bCs w:val="0"/>
          <w:i/>
          <w:iCs/>
        </w:rPr>
        <w:t>plan strukture troškova usluga ii  za 202</w:t>
      </w:r>
      <w:r w:rsidR="009C3B0E">
        <w:rPr>
          <w:b w:val="0"/>
          <w:bCs w:val="0"/>
          <w:i/>
          <w:iCs/>
        </w:rPr>
        <w:t>6</w:t>
      </w:r>
      <w:r>
        <w:rPr>
          <w:b w:val="0"/>
          <w:bCs w:val="0"/>
          <w:i/>
          <w:iCs/>
        </w:rPr>
        <w:t>.g.</w:t>
      </w:r>
    </w:p>
    <w:p w14:paraId="198A96F8" w14:textId="05B0EE63" w:rsidR="00D11D63" w:rsidRDefault="00137FE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Procijenjeni troškovi usluga II. su veći za </w:t>
      </w:r>
      <w:r w:rsidR="009C3B0E">
        <w:rPr>
          <w:sz w:val="24"/>
          <w:szCs w:val="24"/>
        </w:rPr>
        <w:t>9,08</w:t>
      </w:r>
      <w:r>
        <w:rPr>
          <w:sz w:val="24"/>
          <w:szCs w:val="24"/>
        </w:rPr>
        <w:t xml:space="preserve">  %  i temelje se na iskustvima prijašnjih razdoblja sa trendovima nepromijenjenih stavki osim znatnijeg povećanja pojedinih stavki. Spomenute stavke odnose se na usluge </w:t>
      </w:r>
      <w:r w:rsidR="009C3B0E">
        <w:rPr>
          <w:sz w:val="24"/>
          <w:szCs w:val="24"/>
        </w:rPr>
        <w:t>za</w:t>
      </w:r>
      <w:r>
        <w:rPr>
          <w:sz w:val="24"/>
          <w:szCs w:val="24"/>
        </w:rPr>
        <w:t>štite objekata, a razlog je Zakonom predviđeno povećanje minimalne bruto pla</w:t>
      </w:r>
      <w:r w:rsidR="009C3B0E">
        <w:rPr>
          <w:sz w:val="24"/>
          <w:szCs w:val="24"/>
        </w:rPr>
        <w:t>ć</w:t>
      </w:r>
      <w:r>
        <w:rPr>
          <w:sz w:val="24"/>
          <w:szCs w:val="24"/>
        </w:rPr>
        <w:t>e .</w:t>
      </w:r>
      <w:r w:rsidR="009C3B0E">
        <w:rPr>
          <w:sz w:val="24"/>
          <w:szCs w:val="24"/>
        </w:rPr>
        <w:t xml:space="preserve"> Isto tako su najavljeni veći troškovi zbrinjavanja glomaznog otpada sakupljenog sa javno</w:t>
      </w:r>
      <w:r w:rsidR="00EA6693">
        <w:rPr>
          <w:sz w:val="24"/>
          <w:szCs w:val="24"/>
        </w:rPr>
        <w:t xml:space="preserve"> </w:t>
      </w:r>
      <w:r w:rsidR="009C3B0E">
        <w:rPr>
          <w:sz w:val="24"/>
          <w:szCs w:val="24"/>
        </w:rPr>
        <w:t>prometnih površina, te ostalih vrsta otpad</w:t>
      </w:r>
      <w:r w:rsidR="00EA6693">
        <w:rPr>
          <w:sz w:val="24"/>
          <w:szCs w:val="24"/>
        </w:rPr>
        <w:t>a</w:t>
      </w:r>
      <w:r w:rsidR="009C3B0E">
        <w:rPr>
          <w:sz w:val="24"/>
          <w:szCs w:val="24"/>
        </w:rPr>
        <w:t xml:space="preserve"> nastalog </w:t>
      </w:r>
      <w:r w:rsidR="00617678">
        <w:rPr>
          <w:sz w:val="24"/>
          <w:szCs w:val="24"/>
        </w:rPr>
        <w:t>odvajanjem</w:t>
      </w:r>
      <w:r w:rsidR="009C3B0E">
        <w:rPr>
          <w:sz w:val="24"/>
          <w:szCs w:val="24"/>
        </w:rPr>
        <w:t xml:space="preserve"> od miješanog komunalnog otpada. Osim najavljenog povećanja cijena </w:t>
      </w:r>
      <w:r w:rsidR="00617678">
        <w:rPr>
          <w:sz w:val="24"/>
          <w:szCs w:val="24"/>
        </w:rPr>
        <w:t>uslijed</w:t>
      </w:r>
      <w:r w:rsidR="009C3B0E">
        <w:rPr>
          <w:sz w:val="24"/>
          <w:szCs w:val="24"/>
        </w:rPr>
        <w:t xml:space="preserve"> povećanja </w:t>
      </w:r>
      <w:r w:rsidR="00617678">
        <w:rPr>
          <w:sz w:val="24"/>
          <w:szCs w:val="24"/>
        </w:rPr>
        <w:t>minimalne</w:t>
      </w:r>
      <w:r w:rsidR="009C3B0E">
        <w:rPr>
          <w:sz w:val="24"/>
          <w:szCs w:val="24"/>
        </w:rPr>
        <w:t xml:space="preserve"> bruto plaće, planirani su i veći troškovi zaštite na radu sve zbog izmij</w:t>
      </w:r>
      <w:r w:rsidR="00EA6693">
        <w:rPr>
          <w:sz w:val="24"/>
          <w:szCs w:val="24"/>
        </w:rPr>
        <w:t>e</w:t>
      </w:r>
      <w:r w:rsidR="009C3B0E">
        <w:rPr>
          <w:sz w:val="24"/>
          <w:szCs w:val="24"/>
        </w:rPr>
        <w:t>njenih Zakonski propisa.</w:t>
      </w:r>
    </w:p>
    <w:p w14:paraId="74CE763E" w14:textId="77777777" w:rsidR="00D11D63" w:rsidRDefault="00D11D63">
      <w:pPr>
        <w:contextualSpacing/>
        <w:rPr>
          <w:sz w:val="24"/>
          <w:szCs w:val="24"/>
        </w:rPr>
      </w:pPr>
    </w:p>
    <w:p w14:paraId="2F9B13AC" w14:textId="0C5C1E82" w:rsidR="00D11D63" w:rsidRDefault="00137FED" w:rsidP="00730FB1">
      <w:pPr>
        <w:pStyle w:val="Naslov3"/>
        <w:numPr>
          <w:ilvl w:val="1"/>
          <w:numId w:val="21"/>
        </w:numPr>
      </w:pPr>
      <w:bookmarkStart w:id="29" w:name="_Toc90294255"/>
      <w:r>
        <w:t>AMORTIZACIJA</w:t>
      </w:r>
      <w:bookmarkEnd w:id="29"/>
    </w:p>
    <w:tbl>
      <w:tblPr>
        <w:tblW w:w="90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"/>
        <w:gridCol w:w="4191"/>
        <w:gridCol w:w="1311"/>
        <w:gridCol w:w="1311"/>
        <w:gridCol w:w="1216"/>
      </w:tblGrid>
      <w:tr w:rsidR="009C3B0E" w:rsidRPr="009C3B0E" w14:paraId="29BCC1C8" w14:textId="77777777" w:rsidTr="009C3B0E">
        <w:trPr>
          <w:trHeight w:val="975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B001" w14:textId="77777777" w:rsidR="009C3B0E" w:rsidRPr="009C3B0E" w:rsidRDefault="009C3B0E" w:rsidP="009C3B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POZICIJA PLANA</w:t>
            </w:r>
          </w:p>
        </w:tc>
        <w:tc>
          <w:tcPr>
            <w:tcW w:w="419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CB09" w14:textId="29BF8B17" w:rsidR="009C3B0E" w:rsidRPr="009C3B0E" w:rsidRDefault="00DD32C5" w:rsidP="009C3B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R A S H O D I</w:t>
            </w:r>
            <w:r w:rsidR="009C3B0E" w:rsidRPr="009C3B0E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70CB5" w14:textId="77777777" w:rsidR="009C3B0E" w:rsidRPr="009C3B0E" w:rsidRDefault="009C3B0E" w:rsidP="009C3B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PROCJENA OSTVARENJA ZA 2025. g.</w:t>
            </w:r>
          </w:p>
        </w:tc>
        <w:tc>
          <w:tcPr>
            <w:tcW w:w="131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6016" w14:textId="77777777" w:rsidR="009C3B0E" w:rsidRPr="009C3B0E" w:rsidRDefault="009C3B0E" w:rsidP="009C3B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PLAN ZA 2026.g.                           </w:t>
            </w:r>
          </w:p>
        </w:tc>
        <w:tc>
          <w:tcPr>
            <w:tcW w:w="121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5E7DC" w14:textId="77777777" w:rsidR="009C3B0E" w:rsidRPr="009C3B0E" w:rsidRDefault="009C3B0E" w:rsidP="009C3B0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%  PLAN 2026. g./PROCJENA OSTVARENJA ZA 2025.g.</w:t>
            </w:r>
          </w:p>
        </w:tc>
      </w:tr>
      <w:tr w:rsidR="009C3B0E" w:rsidRPr="009C3B0E" w14:paraId="64CBEA4B" w14:textId="77777777" w:rsidTr="009C3B0E">
        <w:trPr>
          <w:trHeight w:val="255"/>
        </w:trPr>
        <w:tc>
          <w:tcPr>
            <w:tcW w:w="98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DD4E3" w14:textId="77777777" w:rsidR="009C3B0E" w:rsidRPr="009C3B0E" w:rsidRDefault="009C3B0E" w:rsidP="009C3B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sz w:val="18"/>
                <w:szCs w:val="18"/>
                <w:lang w:eastAsia="hr-HR"/>
              </w:rPr>
              <w:t>IX.</w:t>
            </w:r>
          </w:p>
        </w:tc>
        <w:tc>
          <w:tcPr>
            <w:tcW w:w="4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BC51" w14:textId="77777777" w:rsidR="009C3B0E" w:rsidRPr="009C3B0E" w:rsidRDefault="009C3B0E" w:rsidP="009C3B0E">
            <w:pPr>
              <w:spacing w:after="0"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sz w:val="18"/>
                <w:szCs w:val="18"/>
                <w:lang w:eastAsia="hr-HR"/>
              </w:rPr>
              <w:t>TROŠKOVI AMORTIZACIJE: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3D94" w14:textId="77777777" w:rsidR="009C3B0E" w:rsidRPr="009C3B0E" w:rsidRDefault="009C3B0E" w:rsidP="009C3B0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1B8E" w14:textId="77777777" w:rsidR="009C3B0E" w:rsidRPr="009C3B0E" w:rsidRDefault="009C3B0E" w:rsidP="009C3B0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sz w:val="18"/>
                <w:szCs w:val="18"/>
                <w:lang w:eastAsia="hr-HR"/>
              </w:rPr>
              <w:t>490.000,00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C053" w14:textId="77777777" w:rsidR="009C3B0E" w:rsidRPr="009C3B0E" w:rsidRDefault="009C3B0E" w:rsidP="009C3B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sz w:val="18"/>
                <w:szCs w:val="18"/>
                <w:lang w:eastAsia="hr-HR"/>
              </w:rPr>
              <w:t>2,08%</w:t>
            </w:r>
          </w:p>
        </w:tc>
      </w:tr>
      <w:tr w:rsidR="009C3B0E" w:rsidRPr="009C3B0E" w14:paraId="0C238120" w14:textId="77777777" w:rsidTr="009C3B0E">
        <w:trPr>
          <w:trHeight w:val="255"/>
        </w:trPr>
        <w:tc>
          <w:tcPr>
            <w:tcW w:w="98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3DA6" w14:textId="77777777" w:rsidR="009C3B0E" w:rsidRPr="009C3B0E" w:rsidRDefault="009C3B0E" w:rsidP="009C3B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F38D" w14:textId="77777777" w:rsidR="009C3B0E" w:rsidRPr="009C3B0E" w:rsidRDefault="009C3B0E" w:rsidP="009C3B0E">
            <w:pPr>
              <w:spacing w:after="0"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sz w:val="18"/>
                <w:szCs w:val="18"/>
                <w:lang w:eastAsia="hr-HR"/>
              </w:rPr>
              <w:t xml:space="preserve">Amortizacija 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957F0" w14:textId="77777777" w:rsidR="009C3B0E" w:rsidRPr="009C3B0E" w:rsidRDefault="009C3B0E" w:rsidP="009C3B0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sz w:val="18"/>
                <w:szCs w:val="18"/>
                <w:lang w:eastAsia="hr-HR"/>
              </w:rPr>
              <w:t>480.000,00</w:t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F8BB9" w14:textId="77777777" w:rsidR="009C3B0E" w:rsidRPr="009C3B0E" w:rsidRDefault="009C3B0E" w:rsidP="009C3B0E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sz w:val="18"/>
                <w:szCs w:val="18"/>
                <w:lang w:eastAsia="hr-HR"/>
              </w:rPr>
              <w:t>490.000,00</w:t>
            </w:r>
          </w:p>
        </w:tc>
        <w:tc>
          <w:tcPr>
            <w:tcW w:w="12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0383" w14:textId="77777777" w:rsidR="009C3B0E" w:rsidRPr="009C3B0E" w:rsidRDefault="009C3B0E" w:rsidP="009C3B0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9C3B0E">
              <w:rPr>
                <w:rFonts w:eastAsia="Times New Roman"/>
                <w:sz w:val="18"/>
                <w:szCs w:val="18"/>
                <w:lang w:eastAsia="hr-HR"/>
              </w:rPr>
              <w:t>2,08%</w:t>
            </w:r>
          </w:p>
        </w:tc>
      </w:tr>
    </w:tbl>
    <w:p w14:paraId="71F9E704" w14:textId="77777777" w:rsidR="00D11D63" w:rsidRDefault="00D11D63">
      <w:pPr>
        <w:rPr>
          <w:color w:val="FF0000"/>
        </w:rPr>
      </w:pPr>
    </w:p>
    <w:p w14:paraId="1B207333" w14:textId="18050808" w:rsidR="00D11D63" w:rsidRDefault="00137FED">
      <w:pPr>
        <w:pStyle w:val="Opisslike"/>
      </w:pPr>
      <w:bookmarkStart w:id="30" w:name="_Toc90294220"/>
      <w:r>
        <w:t xml:space="preserve">Tablica x </w:t>
      </w:r>
      <w:r>
        <w:rPr>
          <w:b w:val="0"/>
          <w:bCs w:val="0"/>
          <w:i/>
          <w:iCs/>
        </w:rPr>
        <w:t>troškovi amortizacije</w:t>
      </w:r>
      <w:bookmarkEnd w:id="30"/>
      <w:r>
        <w:rPr>
          <w:b w:val="0"/>
          <w:bCs w:val="0"/>
          <w:i/>
          <w:iCs/>
        </w:rPr>
        <w:t xml:space="preserve"> za 202</w:t>
      </w:r>
      <w:r w:rsidR="009C3B0E">
        <w:rPr>
          <w:b w:val="0"/>
          <w:bCs w:val="0"/>
          <w:i/>
          <w:iCs/>
        </w:rPr>
        <w:t>6</w:t>
      </w:r>
      <w:r>
        <w:rPr>
          <w:b w:val="0"/>
          <w:bCs w:val="0"/>
          <w:i/>
          <w:iCs/>
        </w:rPr>
        <w:t>. g.</w:t>
      </w:r>
    </w:p>
    <w:p w14:paraId="46F030FC" w14:textId="00AE2FC2" w:rsidR="00D11D63" w:rsidRDefault="00137FED">
      <w:pPr>
        <w:contextualSpacing/>
        <w:rPr>
          <w:sz w:val="24"/>
          <w:szCs w:val="24"/>
        </w:rPr>
      </w:pPr>
      <w:r>
        <w:rPr>
          <w:sz w:val="24"/>
          <w:szCs w:val="24"/>
        </w:rPr>
        <w:t>Zbog nabavke nove opreme i vozila za potrebe zbrinjavanja otpada posljednjih  godina su se troškovi amortizacije proporcionalno povećavali. Budući da se za 202</w:t>
      </w:r>
      <w:r w:rsidR="00EA6693">
        <w:rPr>
          <w:sz w:val="24"/>
          <w:szCs w:val="24"/>
        </w:rPr>
        <w:t>6</w:t>
      </w:r>
      <w:r>
        <w:rPr>
          <w:sz w:val="24"/>
          <w:szCs w:val="24"/>
        </w:rPr>
        <w:t>. godinu ne planiraju nabavljati u većem obimu nova oprema, osim neophodne zamjene dvaju vozila, nije planirano ni znatnije povećanje amortizacije.</w:t>
      </w:r>
    </w:p>
    <w:p w14:paraId="07941C00" w14:textId="77777777" w:rsidR="00D11D63" w:rsidRDefault="00D11D63">
      <w:pPr>
        <w:contextualSpacing/>
        <w:rPr>
          <w:sz w:val="24"/>
          <w:szCs w:val="24"/>
        </w:rPr>
      </w:pPr>
    </w:p>
    <w:p w14:paraId="24893328" w14:textId="77777777" w:rsidR="002E6C73" w:rsidRDefault="002E6C73">
      <w:pPr>
        <w:contextualSpacing/>
        <w:rPr>
          <w:sz w:val="24"/>
          <w:szCs w:val="24"/>
        </w:rPr>
      </w:pPr>
    </w:p>
    <w:p w14:paraId="3A1FB981" w14:textId="77777777" w:rsidR="002E6C73" w:rsidRDefault="002E6C73">
      <w:pPr>
        <w:contextualSpacing/>
        <w:rPr>
          <w:sz w:val="24"/>
          <w:szCs w:val="24"/>
        </w:rPr>
      </w:pPr>
    </w:p>
    <w:p w14:paraId="5802E76B" w14:textId="5B30796E" w:rsidR="00D11D63" w:rsidRDefault="00137FED" w:rsidP="00730FB1">
      <w:pPr>
        <w:pStyle w:val="Naslov3"/>
        <w:numPr>
          <w:ilvl w:val="1"/>
          <w:numId w:val="21"/>
        </w:numPr>
      </w:pPr>
      <w:bookmarkStart w:id="31" w:name="_Toc90294256"/>
      <w:r>
        <w:t>TROŠKOVI NAKNADA ZA RADNIK</w:t>
      </w:r>
      <w:bookmarkEnd w:id="31"/>
      <w:r>
        <w:t>E</w:t>
      </w:r>
    </w:p>
    <w:p w14:paraId="6516B9BE" w14:textId="77777777" w:rsidR="002E6C73" w:rsidRPr="002E6C73" w:rsidRDefault="002E6C73" w:rsidP="002E6C73"/>
    <w:tbl>
      <w:tblPr>
        <w:tblW w:w="90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1"/>
        <w:gridCol w:w="4361"/>
        <w:gridCol w:w="1329"/>
        <w:gridCol w:w="1329"/>
        <w:gridCol w:w="1111"/>
      </w:tblGrid>
      <w:tr w:rsidR="00D11D63" w14:paraId="2118880B" w14:textId="77777777" w:rsidTr="00EA6693">
        <w:trPr>
          <w:trHeight w:val="975"/>
        </w:trPr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CF4A" w14:textId="77777777" w:rsidR="00D11D63" w:rsidRDefault="00137F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lastRenderedPageBreak/>
              <w:t>POZICIJA PLANA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0EE12" w14:textId="323AE96B" w:rsidR="00D11D63" w:rsidRDefault="00DD32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R AS H O D I </w:t>
            </w:r>
            <w:r w:rsidR="00137FED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1E7B" w14:textId="77777777" w:rsidR="00D11D63" w:rsidRDefault="00137F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PROCJENA OSTVARENJA 2024. GODINE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1B6A" w14:textId="77777777" w:rsidR="00D11D63" w:rsidRDefault="00137F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PLAN ZA 2025.g. </w:t>
            </w:r>
          </w:p>
        </w:tc>
        <w:tc>
          <w:tcPr>
            <w:tcW w:w="111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9D54" w14:textId="351F077E" w:rsidR="00D11D63" w:rsidRDefault="00137F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%                    PLAN 202</w:t>
            </w:r>
            <w:r w:rsidR="00273835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</w:t>
            </w:r>
            <w:r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. g.      / PROCJENA  202</w:t>
            </w:r>
            <w:r w:rsidR="00273835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</w:t>
            </w:r>
            <w:r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. g. </w:t>
            </w:r>
          </w:p>
        </w:tc>
      </w:tr>
      <w:tr w:rsidR="00EA6693" w:rsidRPr="00EA6693" w14:paraId="6DF8F621" w14:textId="77777777" w:rsidTr="00EA6693">
        <w:trPr>
          <w:trHeight w:val="255"/>
        </w:trPr>
        <w:tc>
          <w:tcPr>
            <w:tcW w:w="88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0E71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X.</w:t>
            </w:r>
          </w:p>
        </w:tc>
        <w:tc>
          <w:tcPr>
            <w:tcW w:w="4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D500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RADNIKA I OST.MAT.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3393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480.600,00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4853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576.500,00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5B4A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19,95%</w:t>
            </w:r>
          </w:p>
        </w:tc>
      </w:tr>
      <w:tr w:rsidR="00EA6693" w:rsidRPr="00EA6693" w14:paraId="4159E8B7" w14:textId="77777777" w:rsidTr="00EA6693">
        <w:trPr>
          <w:trHeight w:val="255"/>
        </w:trPr>
        <w:tc>
          <w:tcPr>
            <w:tcW w:w="88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73E70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F846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Dnevnice za službeni put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6801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1BF49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33F4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0,00%</w:t>
            </w:r>
          </w:p>
        </w:tc>
      </w:tr>
      <w:tr w:rsidR="00EA6693" w:rsidRPr="00EA6693" w14:paraId="5A3ABB2F" w14:textId="77777777" w:rsidTr="00EA6693">
        <w:trPr>
          <w:trHeight w:val="255"/>
        </w:trPr>
        <w:tc>
          <w:tcPr>
            <w:tcW w:w="88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7C7D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903E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Troškovi vezani za službeni put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6348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882F2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43D3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0,00%</w:t>
            </w:r>
          </w:p>
        </w:tc>
      </w:tr>
      <w:tr w:rsidR="00EA6693" w:rsidRPr="00EA6693" w14:paraId="2DA641C5" w14:textId="77777777" w:rsidTr="00EA6693">
        <w:trPr>
          <w:trHeight w:val="255"/>
        </w:trPr>
        <w:tc>
          <w:tcPr>
            <w:tcW w:w="88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E97F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6470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Naknada za korištenje  vlastitog auta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D21C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6991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C101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0,00%</w:t>
            </w:r>
          </w:p>
        </w:tc>
      </w:tr>
      <w:tr w:rsidR="00EA6693" w:rsidRPr="00EA6693" w14:paraId="1CBEB09C" w14:textId="77777777" w:rsidTr="00EA6693">
        <w:trPr>
          <w:trHeight w:val="255"/>
        </w:trPr>
        <w:tc>
          <w:tcPr>
            <w:tcW w:w="88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E686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9937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Naknade troškova prijevoza zaposlenima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7BA75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EE6E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F8FDC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0,00%</w:t>
            </w:r>
          </w:p>
        </w:tc>
      </w:tr>
      <w:tr w:rsidR="00EA6693" w:rsidRPr="00EA6693" w14:paraId="6A7EBBC6" w14:textId="77777777" w:rsidTr="00EA6693">
        <w:trPr>
          <w:trHeight w:val="255"/>
        </w:trPr>
        <w:tc>
          <w:tcPr>
            <w:tcW w:w="88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0CCD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F889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Usluge stručnog usavršavanja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A30B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BFD3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AF1E6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0,00%</w:t>
            </w:r>
          </w:p>
        </w:tc>
      </w:tr>
      <w:tr w:rsidR="00EA6693" w:rsidRPr="00EA6693" w14:paraId="05C8FC5C" w14:textId="77777777" w:rsidTr="00EA6693">
        <w:trPr>
          <w:trHeight w:val="255"/>
        </w:trPr>
        <w:tc>
          <w:tcPr>
            <w:tcW w:w="88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961E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AD28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Seminari, kotizacije i savjetovanje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8A1C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1EF5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4042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0,00%</w:t>
            </w:r>
          </w:p>
        </w:tc>
      </w:tr>
      <w:tr w:rsidR="00EA6693" w:rsidRPr="00EA6693" w14:paraId="6FFADD30" w14:textId="77777777" w:rsidTr="00EA6693">
        <w:trPr>
          <w:trHeight w:val="255"/>
        </w:trPr>
        <w:tc>
          <w:tcPr>
            <w:tcW w:w="88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FF16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A22B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Ostale potpore i naknade radnicima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27C8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0D88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E722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20,00%</w:t>
            </w:r>
          </w:p>
        </w:tc>
      </w:tr>
      <w:tr w:rsidR="00EA6693" w:rsidRPr="00EA6693" w14:paraId="4F4DF48D" w14:textId="77777777" w:rsidTr="00EA6693">
        <w:trPr>
          <w:trHeight w:val="255"/>
        </w:trPr>
        <w:tc>
          <w:tcPr>
            <w:tcW w:w="88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727A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4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657E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Otpremnine za mirovinu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A954D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6EA2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1785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0,00%</w:t>
            </w:r>
          </w:p>
        </w:tc>
      </w:tr>
      <w:tr w:rsidR="00EA6693" w:rsidRPr="00EA6693" w14:paraId="01AE675C" w14:textId="77777777" w:rsidTr="00EA6693">
        <w:trPr>
          <w:trHeight w:val="255"/>
        </w:trPr>
        <w:tc>
          <w:tcPr>
            <w:tcW w:w="88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97A4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6749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Prigodne god. nagrade(božić.,uskrs.,dar u naravi)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84D56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74.100,00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B2B5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118.000,00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BB1F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59,24%</w:t>
            </w:r>
          </w:p>
        </w:tc>
      </w:tr>
      <w:tr w:rsidR="00EA6693" w:rsidRPr="00EA6693" w14:paraId="2A0B8922" w14:textId="77777777" w:rsidTr="00EA6693">
        <w:trPr>
          <w:trHeight w:val="255"/>
        </w:trPr>
        <w:tc>
          <w:tcPr>
            <w:tcW w:w="88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F8C2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4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F721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Regres za godišnji odmor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396DC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6904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C71EE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0,00%</w:t>
            </w:r>
          </w:p>
        </w:tc>
      </w:tr>
      <w:tr w:rsidR="00EA6693" w:rsidRPr="00EA6693" w14:paraId="1E2DF7EF" w14:textId="77777777" w:rsidTr="00EA6693">
        <w:trPr>
          <w:trHeight w:val="255"/>
        </w:trPr>
        <w:tc>
          <w:tcPr>
            <w:tcW w:w="88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B6BE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653F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Nagrade za radne rezultate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1401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3657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887D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0,00%</w:t>
            </w:r>
          </w:p>
        </w:tc>
      </w:tr>
      <w:tr w:rsidR="00EA6693" w:rsidRPr="00EA6693" w14:paraId="6B937887" w14:textId="77777777" w:rsidTr="00EA6693">
        <w:trPr>
          <w:trHeight w:val="255"/>
        </w:trPr>
        <w:tc>
          <w:tcPr>
            <w:tcW w:w="88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3B1A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43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145E4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color w:val="000000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color w:val="000000"/>
                <w:sz w:val="18"/>
                <w:szCs w:val="18"/>
                <w:lang w:eastAsia="hr-HR"/>
              </w:rPr>
              <w:t>Naknada za prehranu radnika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EF75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185.000,00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14C0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185.000,00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DAE5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0,00%</w:t>
            </w:r>
          </w:p>
        </w:tc>
      </w:tr>
    </w:tbl>
    <w:p w14:paraId="433718E9" w14:textId="5D6B4D53" w:rsidR="00D11D63" w:rsidRDefault="00137FED">
      <w:pPr>
        <w:pStyle w:val="Opisslike"/>
      </w:pPr>
      <w:r>
        <w:t xml:space="preserve">Tablica XI </w:t>
      </w:r>
      <w:r>
        <w:rPr>
          <w:b w:val="0"/>
          <w:bCs w:val="0"/>
          <w:i/>
          <w:iCs/>
        </w:rPr>
        <w:t>plan strukture troškoVA NAKNADA ZA RADNIKE  za 202</w:t>
      </w:r>
      <w:r w:rsidR="00EA6693">
        <w:rPr>
          <w:b w:val="0"/>
          <w:bCs w:val="0"/>
          <w:i/>
          <w:iCs/>
        </w:rPr>
        <w:t>6</w:t>
      </w:r>
      <w:r>
        <w:rPr>
          <w:b w:val="0"/>
          <w:bCs w:val="0"/>
          <w:i/>
          <w:iCs/>
        </w:rPr>
        <w:t xml:space="preserve">.g. </w:t>
      </w:r>
    </w:p>
    <w:p w14:paraId="33C386F9" w14:textId="77777777" w:rsidR="00D11D63" w:rsidRDefault="00D11D63">
      <w:pPr>
        <w:rPr>
          <w:color w:val="FF0000"/>
        </w:rPr>
      </w:pPr>
    </w:p>
    <w:p w14:paraId="6C74AF5F" w14:textId="349C7DA5" w:rsidR="00EA6693" w:rsidRDefault="00137FED" w:rsidP="00EA6693">
      <w:pPr>
        <w:contextualSpacing/>
        <w:rPr>
          <w:sz w:val="24"/>
          <w:szCs w:val="24"/>
        </w:rPr>
      </w:pPr>
      <w:r>
        <w:rPr>
          <w:sz w:val="24"/>
          <w:szCs w:val="24"/>
        </w:rPr>
        <w:t>U planu  202</w:t>
      </w:r>
      <w:r w:rsidR="00EA6693">
        <w:rPr>
          <w:sz w:val="24"/>
          <w:szCs w:val="24"/>
        </w:rPr>
        <w:t>6</w:t>
      </w:r>
      <w:r>
        <w:rPr>
          <w:sz w:val="24"/>
          <w:szCs w:val="24"/>
        </w:rPr>
        <w:t>. godine troškovi radnika uglavnom  ostaju u stavkama iz 202</w:t>
      </w:r>
      <w:r w:rsidR="00EA6693">
        <w:rPr>
          <w:sz w:val="24"/>
          <w:szCs w:val="24"/>
        </w:rPr>
        <w:t>5</w:t>
      </w:r>
      <w:r>
        <w:rPr>
          <w:sz w:val="24"/>
          <w:szCs w:val="24"/>
        </w:rPr>
        <w:t xml:space="preserve">. godine, osim </w:t>
      </w:r>
      <w:r w:rsidR="00EA6693">
        <w:rPr>
          <w:sz w:val="24"/>
          <w:szCs w:val="24"/>
        </w:rPr>
        <w:t xml:space="preserve">što se planiraju </w:t>
      </w:r>
      <w:r w:rsidR="00617678">
        <w:rPr>
          <w:sz w:val="24"/>
          <w:szCs w:val="24"/>
        </w:rPr>
        <w:t>isplatiti</w:t>
      </w:r>
      <w:r w:rsidR="00EA6693">
        <w:rPr>
          <w:sz w:val="24"/>
          <w:szCs w:val="24"/>
        </w:rPr>
        <w:t xml:space="preserve"> veće prigodne nagrade do Zakonom propisanih neoporezivih iznosa</w:t>
      </w:r>
      <w:bookmarkStart w:id="32" w:name="_Toc90294257"/>
      <w:r w:rsidR="00EA6693">
        <w:rPr>
          <w:sz w:val="24"/>
          <w:szCs w:val="24"/>
        </w:rPr>
        <w:t>, što povećava troškove ukupno za 19,95%.</w:t>
      </w:r>
    </w:p>
    <w:p w14:paraId="58252682" w14:textId="77777777" w:rsidR="00EA6693" w:rsidRDefault="00EA6693" w:rsidP="00EA6693">
      <w:pPr>
        <w:contextualSpacing/>
      </w:pPr>
    </w:p>
    <w:p w14:paraId="683EBEED" w14:textId="5378B0D8" w:rsidR="00D11D63" w:rsidRDefault="00137FED" w:rsidP="00EA6693">
      <w:pPr>
        <w:contextualSpacing/>
      </w:pPr>
      <w:r>
        <w:t>TROŠKOVI PLAĆA</w:t>
      </w:r>
      <w:bookmarkEnd w:id="32"/>
    </w:p>
    <w:tbl>
      <w:tblPr>
        <w:tblW w:w="901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4267"/>
        <w:gridCol w:w="1329"/>
        <w:gridCol w:w="1329"/>
        <w:gridCol w:w="1111"/>
      </w:tblGrid>
      <w:tr w:rsidR="00D11D63" w14:paraId="535A5CC0" w14:textId="77777777">
        <w:trPr>
          <w:trHeight w:val="97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667C" w14:textId="77777777" w:rsidR="00D11D63" w:rsidRDefault="00137F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POZICIJA PLANA</w:t>
            </w:r>
          </w:p>
        </w:tc>
        <w:tc>
          <w:tcPr>
            <w:tcW w:w="426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7B77" w14:textId="764BD77E" w:rsidR="00D11D63" w:rsidRDefault="00DD32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R A S H O D I</w:t>
            </w:r>
            <w:r w:rsidR="00137FED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4497" w14:textId="77777777" w:rsidR="00D11D63" w:rsidRDefault="00137F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PROCJENA OSTVARENJA 2024. GODINE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562E" w14:textId="77777777" w:rsidR="00D11D63" w:rsidRDefault="00137F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PLAN ZA 2025.g. </w:t>
            </w:r>
          </w:p>
        </w:tc>
        <w:tc>
          <w:tcPr>
            <w:tcW w:w="111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1055" w14:textId="65031C70" w:rsidR="00D11D63" w:rsidRDefault="00137F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%                    PLAN 202</w:t>
            </w:r>
            <w:r w:rsidR="00273835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6</w:t>
            </w:r>
            <w:r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. g.      / PROCJENA  202</w:t>
            </w:r>
            <w:r w:rsidR="00273835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5</w:t>
            </w:r>
            <w:r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 xml:space="preserve">. g. </w:t>
            </w:r>
          </w:p>
        </w:tc>
      </w:tr>
      <w:tr w:rsidR="00EA6693" w:rsidRPr="00EA6693" w14:paraId="5EA77463" w14:textId="77777777" w:rsidTr="00EA6693">
        <w:trPr>
          <w:trHeight w:val="300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E8B9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bookmarkStart w:id="33" w:name="_Toc90294221"/>
            <w:r w:rsidRPr="00EA669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XIII.</w:t>
            </w:r>
          </w:p>
        </w:tc>
        <w:tc>
          <w:tcPr>
            <w:tcW w:w="426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5C684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TROŠKOVI OSOBLJA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9078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2.870.887,89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0F42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3.159.985,81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0B48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10,07%</w:t>
            </w:r>
          </w:p>
        </w:tc>
      </w:tr>
      <w:tr w:rsidR="00EA6693" w:rsidRPr="00EA6693" w14:paraId="74B422F2" w14:textId="77777777" w:rsidTr="00EA6693">
        <w:trPr>
          <w:trHeight w:val="300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F2BF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26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8219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Bruto plaće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CC475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2.464.281,45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9B25F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2.712.434,17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8F59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10,07%</w:t>
            </w:r>
          </w:p>
        </w:tc>
      </w:tr>
      <w:tr w:rsidR="00EA6693" w:rsidRPr="00EA6693" w14:paraId="593CCE72" w14:textId="77777777" w:rsidTr="00EA6693">
        <w:trPr>
          <w:trHeight w:val="300"/>
        </w:trPr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810B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26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68D3" w14:textId="77777777" w:rsidR="00EA6693" w:rsidRPr="00EA6693" w:rsidRDefault="00EA6693" w:rsidP="00EA6693">
            <w:pPr>
              <w:spacing w:after="0" w:line="240" w:lineRule="auto"/>
              <w:jc w:val="lef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E3AB8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406.606,44</w:t>
            </w:r>
          </w:p>
        </w:tc>
        <w:tc>
          <w:tcPr>
            <w:tcW w:w="132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9D67" w14:textId="77777777" w:rsidR="00EA6693" w:rsidRPr="00EA6693" w:rsidRDefault="00EA6693" w:rsidP="00EA6693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447.551,64</w:t>
            </w:r>
          </w:p>
        </w:tc>
        <w:tc>
          <w:tcPr>
            <w:tcW w:w="111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5C38" w14:textId="77777777" w:rsidR="00EA6693" w:rsidRPr="00EA6693" w:rsidRDefault="00EA6693" w:rsidP="00EA669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EA6693">
              <w:rPr>
                <w:rFonts w:eastAsia="Times New Roman"/>
                <w:sz w:val="18"/>
                <w:szCs w:val="18"/>
                <w:lang w:eastAsia="hr-HR"/>
              </w:rPr>
              <w:t>10,07%</w:t>
            </w:r>
          </w:p>
        </w:tc>
      </w:tr>
    </w:tbl>
    <w:p w14:paraId="5F4B3413" w14:textId="77777777" w:rsidR="00D11D63" w:rsidRDefault="00D11D63">
      <w:pPr>
        <w:pStyle w:val="Opisslike"/>
      </w:pPr>
    </w:p>
    <w:p w14:paraId="63199EE8" w14:textId="047618C2" w:rsidR="00D11D63" w:rsidRDefault="00137FED">
      <w:pPr>
        <w:pStyle w:val="Opisslike"/>
      </w:pPr>
      <w:r>
        <w:t>Tablica XII PlaN TROŠKOVA PLAĆA</w:t>
      </w:r>
      <w:bookmarkEnd w:id="33"/>
      <w:r>
        <w:t xml:space="preserve"> za 202</w:t>
      </w:r>
      <w:r w:rsidR="00EA6693">
        <w:t>6</w:t>
      </w:r>
      <w:r>
        <w:t>. g.</w:t>
      </w:r>
    </w:p>
    <w:p w14:paraId="68F21A99" w14:textId="1A0B2D9A" w:rsidR="00D11D63" w:rsidRDefault="00137FED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Nakon potpisivanja </w:t>
      </w:r>
      <w:r w:rsidR="00EA6693">
        <w:rPr>
          <w:sz w:val="24"/>
          <w:szCs w:val="24"/>
        </w:rPr>
        <w:t xml:space="preserve">novog </w:t>
      </w:r>
      <w:r>
        <w:rPr>
          <w:sz w:val="24"/>
          <w:szCs w:val="24"/>
        </w:rPr>
        <w:t xml:space="preserve">kolektivnog ugovora koji </w:t>
      </w:r>
      <w:r w:rsidR="00EA6693">
        <w:rPr>
          <w:sz w:val="24"/>
          <w:szCs w:val="24"/>
        </w:rPr>
        <w:t>će</w:t>
      </w:r>
      <w:r>
        <w:rPr>
          <w:sz w:val="24"/>
          <w:szCs w:val="24"/>
        </w:rPr>
        <w:t xml:space="preserve"> stupi</w:t>
      </w:r>
      <w:r w:rsidR="00EA6693">
        <w:rPr>
          <w:sz w:val="24"/>
          <w:szCs w:val="24"/>
        </w:rPr>
        <w:t>ti</w:t>
      </w:r>
      <w:r>
        <w:rPr>
          <w:sz w:val="24"/>
          <w:szCs w:val="24"/>
        </w:rPr>
        <w:t xml:space="preserve"> na snagu 01.</w:t>
      </w:r>
      <w:r w:rsidR="00EA6693">
        <w:rPr>
          <w:sz w:val="24"/>
          <w:szCs w:val="24"/>
        </w:rPr>
        <w:t>01</w:t>
      </w:r>
      <w:r>
        <w:rPr>
          <w:sz w:val="24"/>
          <w:szCs w:val="24"/>
        </w:rPr>
        <w:t>.202</w:t>
      </w:r>
      <w:r w:rsidR="00EA6693">
        <w:rPr>
          <w:sz w:val="24"/>
          <w:szCs w:val="24"/>
        </w:rPr>
        <w:t>6</w:t>
      </w:r>
      <w:r>
        <w:rPr>
          <w:sz w:val="24"/>
          <w:szCs w:val="24"/>
        </w:rPr>
        <w:t>., procjenjuje se da će povećanje  plaća i ostalih  izdataka za plaće, u 202</w:t>
      </w:r>
      <w:r w:rsidR="00C02DC4">
        <w:rPr>
          <w:sz w:val="24"/>
          <w:szCs w:val="24"/>
        </w:rPr>
        <w:t>6</w:t>
      </w:r>
      <w:r>
        <w:rPr>
          <w:sz w:val="24"/>
          <w:szCs w:val="24"/>
        </w:rPr>
        <w:t xml:space="preserve">. godini biti za  </w:t>
      </w:r>
      <w:r w:rsidR="00EA6693">
        <w:rPr>
          <w:sz w:val="24"/>
          <w:szCs w:val="24"/>
        </w:rPr>
        <w:t>10,07</w:t>
      </w:r>
      <w:r>
        <w:rPr>
          <w:sz w:val="24"/>
          <w:szCs w:val="24"/>
        </w:rPr>
        <w:t xml:space="preserve"> % u odnosu na prethodnu 202</w:t>
      </w:r>
      <w:r w:rsidR="00EA6693">
        <w:rPr>
          <w:sz w:val="24"/>
          <w:szCs w:val="24"/>
        </w:rPr>
        <w:t>5</w:t>
      </w:r>
      <w:r>
        <w:rPr>
          <w:sz w:val="24"/>
          <w:szCs w:val="24"/>
        </w:rPr>
        <w:t>. godinu.</w:t>
      </w:r>
      <w:r w:rsidR="00D70DDA">
        <w:rPr>
          <w:sz w:val="24"/>
          <w:szCs w:val="24"/>
        </w:rPr>
        <w:t xml:space="preserve"> U spomenutom kolektivnom ugovoru između ostalog i za 2026. godinu su planirane</w:t>
      </w:r>
      <w:r>
        <w:rPr>
          <w:sz w:val="24"/>
          <w:szCs w:val="24"/>
        </w:rPr>
        <w:t xml:space="preserve"> isplate regresa za godišnje odmore, </w:t>
      </w:r>
      <w:r w:rsidR="00D70DDA">
        <w:rPr>
          <w:sz w:val="24"/>
          <w:szCs w:val="24"/>
        </w:rPr>
        <w:t>naknade</w:t>
      </w:r>
      <w:r>
        <w:rPr>
          <w:sz w:val="24"/>
          <w:szCs w:val="24"/>
        </w:rPr>
        <w:t xml:space="preserve"> za prehranu radnika sa  100,00 EUR-a po radniku.</w:t>
      </w:r>
    </w:p>
    <w:p w14:paraId="2AF34423" w14:textId="38671D12" w:rsidR="00D11D63" w:rsidRDefault="00137FED">
      <w:pPr>
        <w:contextualSpacing/>
        <w:rPr>
          <w:sz w:val="24"/>
          <w:szCs w:val="24"/>
        </w:rPr>
      </w:pPr>
      <w:r>
        <w:rPr>
          <w:sz w:val="24"/>
          <w:szCs w:val="24"/>
        </w:rPr>
        <w:t>U planirano povećanje troškova osoblja za 1</w:t>
      </w:r>
      <w:r w:rsidR="00D70DDA">
        <w:rPr>
          <w:sz w:val="24"/>
          <w:szCs w:val="24"/>
        </w:rPr>
        <w:t>0,07</w:t>
      </w:r>
      <w:r>
        <w:rPr>
          <w:sz w:val="24"/>
          <w:szCs w:val="24"/>
        </w:rPr>
        <w:t xml:space="preserve"> % za 202</w:t>
      </w:r>
      <w:r w:rsidR="00D70DDA">
        <w:rPr>
          <w:sz w:val="24"/>
          <w:szCs w:val="24"/>
        </w:rPr>
        <w:t>6</w:t>
      </w:r>
      <w:r>
        <w:rPr>
          <w:sz w:val="24"/>
          <w:szCs w:val="24"/>
        </w:rPr>
        <w:t>. godini, osim već uračunatog povećanja osnovice u protekl</w:t>
      </w:r>
      <w:r w:rsidR="00D70DDA">
        <w:rPr>
          <w:sz w:val="24"/>
          <w:szCs w:val="24"/>
        </w:rPr>
        <w:t>om razdoblju</w:t>
      </w:r>
      <w:r>
        <w:rPr>
          <w:sz w:val="24"/>
          <w:szCs w:val="24"/>
        </w:rPr>
        <w:t xml:space="preserve"> planira se povećati  osnovica na plaću </w:t>
      </w:r>
      <w:r w:rsidR="00D70DDA">
        <w:rPr>
          <w:sz w:val="24"/>
          <w:szCs w:val="24"/>
        </w:rPr>
        <w:t>za</w:t>
      </w:r>
      <w:r>
        <w:rPr>
          <w:sz w:val="24"/>
          <w:szCs w:val="24"/>
        </w:rPr>
        <w:t xml:space="preserve"> dodatnih</w:t>
      </w:r>
      <w:r w:rsidR="00D70DDA">
        <w:rPr>
          <w:sz w:val="24"/>
          <w:szCs w:val="24"/>
        </w:rPr>
        <w:t xml:space="preserve"> 8,04</w:t>
      </w:r>
      <w:r>
        <w:rPr>
          <w:sz w:val="24"/>
          <w:szCs w:val="24"/>
        </w:rPr>
        <w:t xml:space="preserve"> %.</w:t>
      </w:r>
    </w:p>
    <w:p w14:paraId="5189C369" w14:textId="77777777" w:rsidR="00D11D63" w:rsidRDefault="00137FED" w:rsidP="00730FB1">
      <w:pPr>
        <w:pStyle w:val="Naslov3"/>
        <w:numPr>
          <w:ilvl w:val="1"/>
          <w:numId w:val="21"/>
        </w:numPr>
      </w:pPr>
      <w:r>
        <w:lastRenderedPageBreak/>
        <w:t>REKAPITULACIJA TROŠKOVA</w:t>
      </w:r>
    </w:p>
    <w:p w14:paraId="2D1A8509" w14:textId="77777777" w:rsidR="00D11D63" w:rsidRDefault="00137FED">
      <w:r>
        <w:rPr>
          <w:noProof/>
          <w:color w:val="FF0000"/>
        </w:rPr>
        <w:drawing>
          <wp:inline distT="0" distB="0" distL="0" distR="0" wp14:anchorId="5526587D" wp14:editId="416F2A58">
            <wp:extent cx="5114925" cy="2618741"/>
            <wp:effectExtent l="0" t="0" r="9525" b="10160"/>
            <wp:docPr id="1696607499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color w:val="FF0000"/>
        </w:rPr>
        <w:t xml:space="preserve"> </w:t>
      </w:r>
    </w:p>
    <w:p w14:paraId="6D6E87B4" w14:textId="7C0DF19A" w:rsidR="00D11D63" w:rsidRDefault="00137FED">
      <w:pPr>
        <w:pStyle w:val="Opisslike"/>
      </w:pPr>
      <w:bookmarkStart w:id="34" w:name="_Toc90294337"/>
      <w:r>
        <w:t xml:space="preserve">Slika III </w:t>
      </w:r>
      <w:r>
        <w:rPr>
          <w:b w:val="0"/>
          <w:bCs w:val="0"/>
          <w:i/>
          <w:iCs/>
        </w:rPr>
        <w:t>Učešće troškova i bruto dobiti u ukupnim prihodima trgovačkog društva TH d.o.o.</w:t>
      </w:r>
      <w:bookmarkEnd w:id="34"/>
      <w:r w:rsidR="00A766E3">
        <w:rPr>
          <w:b w:val="0"/>
          <w:bCs w:val="0"/>
          <w:i/>
          <w:iCs/>
        </w:rPr>
        <w:t xml:space="preserve"> U 2026.G.</w:t>
      </w:r>
    </w:p>
    <w:p w14:paraId="233ACDC3" w14:textId="29D31003" w:rsidR="00D11D63" w:rsidRDefault="00D11D63">
      <w:pPr>
        <w:rPr>
          <w:color w:val="FF0000"/>
        </w:rPr>
      </w:pPr>
    </w:p>
    <w:p w14:paraId="21F479A0" w14:textId="77777777" w:rsidR="00D11D63" w:rsidRDefault="00137FED" w:rsidP="00730FB1">
      <w:pPr>
        <w:pStyle w:val="Naslov3"/>
        <w:numPr>
          <w:ilvl w:val="0"/>
          <w:numId w:val="21"/>
        </w:numPr>
        <w:rPr>
          <w:b/>
          <w:bCs/>
        </w:rPr>
      </w:pPr>
      <w:bookmarkStart w:id="35" w:name="_Toc90294259"/>
      <w:r>
        <w:rPr>
          <w:b/>
          <w:bCs/>
        </w:rPr>
        <w:t>RAČUN DOBITI I GUBITKA</w:t>
      </w:r>
      <w:bookmarkEnd w:id="35"/>
    </w:p>
    <w:p w14:paraId="3AEAA30D" w14:textId="77777777" w:rsidR="00D11D63" w:rsidRDefault="00D11D63"/>
    <w:tbl>
      <w:tblPr>
        <w:tblW w:w="65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7"/>
        <w:gridCol w:w="3110"/>
      </w:tblGrid>
      <w:tr w:rsidR="00D11D63" w14:paraId="1C8299D4" w14:textId="77777777">
        <w:trPr>
          <w:trHeight w:val="448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7DFED7" w14:textId="77777777" w:rsidR="00D11D63" w:rsidRDefault="00137FED">
            <w:pPr>
              <w:spacing w:after="0" w:line="240" w:lineRule="auto"/>
              <w:jc w:val="center"/>
              <w:rPr>
                <w:rFonts w:ascii="Arial" w:eastAsia="Times New Roman" w:hAnsi="Arial"/>
                <w:lang w:eastAsia="hr-HR"/>
              </w:rPr>
            </w:pPr>
            <w:r>
              <w:rPr>
                <w:rFonts w:ascii="Arial" w:eastAsia="Times New Roman" w:hAnsi="Arial"/>
                <w:lang w:eastAsia="hr-HR"/>
              </w:rPr>
              <w:t>Stavke</w:t>
            </w:r>
          </w:p>
        </w:tc>
        <w:tc>
          <w:tcPr>
            <w:tcW w:w="3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66522" w14:textId="77777777" w:rsidR="00D11D63" w:rsidRDefault="00137FED" w:rsidP="00205F1B">
            <w:pPr>
              <w:spacing w:after="0" w:line="240" w:lineRule="auto"/>
              <w:jc w:val="right"/>
              <w:rPr>
                <w:rFonts w:ascii="Arial" w:eastAsia="Times New Roman" w:hAnsi="Arial"/>
                <w:lang w:eastAsia="hr-HR"/>
              </w:rPr>
            </w:pPr>
            <w:r>
              <w:rPr>
                <w:rFonts w:ascii="Arial" w:eastAsia="Times New Roman" w:hAnsi="Arial"/>
                <w:lang w:eastAsia="hr-HR"/>
              </w:rPr>
              <w:t>Iznos (EUR)</w:t>
            </w:r>
          </w:p>
        </w:tc>
      </w:tr>
      <w:tr w:rsidR="00D11D63" w14:paraId="25588A37" w14:textId="77777777">
        <w:trPr>
          <w:trHeight w:val="448"/>
        </w:trPr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5410A3" w14:textId="77777777" w:rsidR="00D11D63" w:rsidRDefault="00137FED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hr-HR"/>
              </w:rPr>
            </w:pPr>
            <w:r>
              <w:rPr>
                <w:rFonts w:ascii="Arial" w:eastAsia="Times New Roman" w:hAnsi="Arial"/>
                <w:b/>
                <w:bCs/>
                <w:lang w:eastAsia="hr-HR"/>
              </w:rPr>
              <w:t>UKUPNI PRIHODI</w:t>
            </w:r>
          </w:p>
        </w:tc>
        <w:tc>
          <w:tcPr>
            <w:tcW w:w="31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F2704" w14:textId="73A0BA5B" w:rsidR="00D11D63" w:rsidRDefault="00191FB3" w:rsidP="00205F1B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lang w:eastAsia="hr-HR"/>
              </w:rPr>
            </w:pPr>
            <w:r>
              <w:rPr>
                <w:rFonts w:ascii="Arial" w:eastAsia="Times New Roman" w:hAnsi="Arial"/>
                <w:b/>
                <w:bCs/>
                <w:lang w:eastAsia="hr-HR"/>
              </w:rPr>
              <w:t>7.008.100,00</w:t>
            </w:r>
          </w:p>
        </w:tc>
      </w:tr>
      <w:tr w:rsidR="00D11D63" w14:paraId="547FF4B9" w14:textId="77777777">
        <w:trPr>
          <w:trHeight w:val="448"/>
        </w:trPr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BB1794" w14:textId="77777777" w:rsidR="00D11D63" w:rsidRDefault="00137FED">
            <w:pPr>
              <w:spacing w:after="0" w:line="240" w:lineRule="auto"/>
              <w:rPr>
                <w:rFonts w:ascii="Arial" w:eastAsia="Times New Roman" w:hAnsi="Arial"/>
                <w:lang w:eastAsia="hr-HR"/>
              </w:rPr>
            </w:pPr>
            <w:r>
              <w:rPr>
                <w:rFonts w:ascii="Arial" w:eastAsia="Times New Roman" w:hAnsi="Arial"/>
                <w:lang w:eastAsia="hr-HR"/>
              </w:rPr>
              <w:t>Troškovi poslovanja</w:t>
            </w:r>
          </w:p>
        </w:tc>
        <w:tc>
          <w:tcPr>
            <w:tcW w:w="31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45A10" w14:textId="781A19E9" w:rsidR="00D11D63" w:rsidRDefault="00137FED" w:rsidP="00205F1B">
            <w:pPr>
              <w:spacing w:after="0" w:line="240" w:lineRule="auto"/>
              <w:jc w:val="right"/>
              <w:rPr>
                <w:rFonts w:ascii="Arial" w:eastAsia="Times New Roman" w:hAnsi="Arial"/>
                <w:lang w:eastAsia="hr-HR"/>
              </w:rPr>
            </w:pPr>
            <w:r>
              <w:rPr>
                <w:rFonts w:ascii="Arial" w:eastAsia="Times New Roman" w:hAnsi="Arial"/>
                <w:lang w:eastAsia="hr-HR"/>
              </w:rPr>
              <w:t>3.</w:t>
            </w:r>
            <w:r w:rsidR="00191FB3">
              <w:rPr>
                <w:rFonts w:ascii="Arial" w:eastAsia="Times New Roman" w:hAnsi="Arial"/>
                <w:lang w:eastAsia="hr-HR"/>
              </w:rPr>
              <w:t>294.175,43</w:t>
            </w:r>
          </w:p>
        </w:tc>
      </w:tr>
      <w:tr w:rsidR="00D11D63" w14:paraId="7955442C" w14:textId="77777777">
        <w:trPr>
          <w:trHeight w:val="448"/>
        </w:trPr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DC4009" w14:textId="77777777" w:rsidR="00D11D63" w:rsidRDefault="00137FED">
            <w:pPr>
              <w:spacing w:after="0" w:line="240" w:lineRule="auto"/>
              <w:rPr>
                <w:rFonts w:ascii="Arial" w:eastAsia="Times New Roman" w:hAnsi="Arial"/>
                <w:lang w:eastAsia="hr-HR"/>
              </w:rPr>
            </w:pPr>
            <w:r>
              <w:rPr>
                <w:rFonts w:ascii="Arial" w:eastAsia="Times New Roman" w:hAnsi="Arial"/>
                <w:lang w:eastAsia="hr-HR"/>
              </w:rPr>
              <w:t>Amortizacija</w:t>
            </w:r>
          </w:p>
        </w:tc>
        <w:tc>
          <w:tcPr>
            <w:tcW w:w="31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918983" w14:textId="1C60EC5E" w:rsidR="00D11D63" w:rsidRDefault="00137FED" w:rsidP="00205F1B">
            <w:pPr>
              <w:spacing w:after="0" w:line="240" w:lineRule="auto"/>
              <w:jc w:val="right"/>
              <w:rPr>
                <w:rFonts w:ascii="Arial" w:eastAsia="Times New Roman" w:hAnsi="Arial"/>
                <w:lang w:eastAsia="hr-HR"/>
              </w:rPr>
            </w:pPr>
            <w:r>
              <w:rPr>
                <w:rFonts w:ascii="Arial" w:eastAsia="Times New Roman" w:hAnsi="Arial"/>
                <w:lang w:eastAsia="hr-HR"/>
              </w:rPr>
              <w:t>4</w:t>
            </w:r>
            <w:r w:rsidR="00191FB3">
              <w:rPr>
                <w:rFonts w:ascii="Arial" w:eastAsia="Times New Roman" w:hAnsi="Arial"/>
                <w:lang w:eastAsia="hr-HR"/>
              </w:rPr>
              <w:t>9</w:t>
            </w:r>
            <w:r>
              <w:rPr>
                <w:rFonts w:ascii="Arial" w:eastAsia="Times New Roman" w:hAnsi="Arial"/>
                <w:lang w:eastAsia="hr-HR"/>
              </w:rPr>
              <w:t>0.000,00</w:t>
            </w:r>
          </w:p>
        </w:tc>
      </w:tr>
      <w:tr w:rsidR="00D11D63" w14:paraId="36BF17E3" w14:textId="77777777">
        <w:trPr>
          <w:trHeight w:val="448"/>
        </w:trPr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25472A" w14:textId="77777777" w:rsidR="00D11D63" w:rsidRDefault="00137FED">
            <w:pPr>
              <w:spacing w:after="0" w:line="240" w:lineRule="auto"/>
              <w:rPr>
                <w:rFonts w:ascii="Arial" w:eastAsia="Times New Roman" w:hAnsi="Arial"/>
                <w:lang w:eastAsia="hr-HR"/>
              </w:rPr>
            </w:pPr>
            <w:r>
              <w:rPr>
                <w:rFonts w:ascii="Arial" w:eastAsia="Times New Roman" w:hAnsi="Arial"/>
                <w:lang w:eastAsia="hr-HR"/>
              </w:rPr>
              <w:t>Troškovi plaća</w:t>
            </w:r>
          </w:p>
        </w:tc>
        <w:tc>
          <w:tcPr>
            <w:tcW w:w="31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807C6" w14:textId="4D589B34" w:rsidR="00D11D63" w:rsidRDefault="00191FB3" w:rsidP="00205F1B">
            <w:pPr>
              <w:spacing w:after="0" w:line="240" w:lineRule="auto"/>
              <w:jc w:val="right"/>
              <w:rPr>
                <w:rFonts w:ascii="Arial" w:eastAsia="Times New Roman" w:hAnsi="Arial"/>
                <w:lang w:eastAsia="hr-HR"/>
              </w:rPr>
            </w:pPr>
            <w:r>
              <w:rPr>
                <w:rFonts w:ascii="Arial" w:eastAsia="Times New Roman" w:hAnsi="Arial"/>
                <w:lang w:eastAsia="hr-HR"/>
              </w:rPr>
              <w:t>3.159.985,81</w:t>
            </w:r>
          </w:p>
        </w:tc>
      </w:tr>
      <w:tr w:rsidR="00D11D63" w14:paraId="74B33AB5" w14:textId="77777777">
        <w:trPr>
          <w:trHeight w:val="448"/>
        </w:trPr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43AF3" w14:textId="77777777" w:rsidR="00D11D63" w:rsidRDefault="00137FED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hr-HR"/>
              </w:rPr>
            </w:pPr>
            <w:r>
              <w:rPr>
                <w:rFonts w:ascii="Arial" w:eastAsia="Times New Roman" w:hAnsi="Arial"/>
                <w:b/>
                <w:bCs/>
                <w:lang w:eastAsia="hr-HR"/>
              </w:rPr>
              <w:t>UKUPNI RASHODI</w:t>
            </w:r>
          </w:p>
        </w:tc>
        <w:tc>
          <w:tcPr>
            <w:tcW w:w="31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56742A" w14:textId="5B46F78D" w:rsidR="00D11D63" w:rsidRPr="00191FB3" w:rsidRDefault="00191FB3" w:rsidP="00205F1B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lang w:eastAsia="hr-HR"/>
              </w:rPr>
            </w:pPr>
            <w:r w:rsidRPr="00191FB3">
              <w:rPr>
                <w:rFonts w:ascii="Arial" w:eastAsia="Times New Roman" w:hAnsi="Arial"/>
                <w:b/>
                <w:bCs/>
                <w:lang w:eastAsia="hr-HR"/>
              </w:rPr>
              <w:t>6.944.161,24</w:t>
            </w:r>
          </w:p>
        </w:tc>
      </w:tr>
      <w:tr w:rsidR="00D11D63" w14:paraId="212DC9E7" w14:textId="77777777">
        <w:trPr>
          <w:trHeight w:val="448"/>
        </w:trPr>
        <w:tc>
          <w:tcPr>
            <w:tcW w:w="3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02E96" w14:textId="77777777" w:rsidR="00D11D63" w:rsidRPr="00EC3693" w:rsidRDefault="00137FED">
            <w:pPr>
              <w:spacing w:after="0" w:line="240" w:lineRule="auto"/>
              <w:rPr>
                <w:rFonts w:ascii="Arial" w:eastAsia="Times New Roman" w:hAnsi="Arial"/>
                <w:lang w:eastAsia="hr-HR"/>
              </w:rPr>
            </w:pPr>
            <w:r w:rsidRPr="00EC3693">
              <w:rPr>
                <w:rFonts w:ascii="Arial" w:eastAsia="Times New Roman" w:hAnsi="Arial"/>
                <w:lang w:eastAsia="hr-HR"/>
              </w:rPr>
              <w:t>BRUTO DOBIT</w:t>
            </w:r>
          </w:p>
        </w:tc>
        <w:tc>
          <w:tcPr>
            <w:tcW w:w="311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67FBA6" w14:textId="4C93B802" w:rsidR="00D11D63" w:rsidRPr="00D70DDA" w:rsidRDefault="00191FB3" w:rsidP="00205F1B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lang w:eastAsia="hr-HR"/>
              </w:rPr>
            </w:pPr>
            <w:r w:rsidRPr="00D70DDA">
              <w:rPr>
                <w:rFonts w:ascii="Arial" w:eastAsia="Times New Roman" w:hAnsi="Arial"/>
                <w:b/>
                <w:bCs/>
                <w:lang w:eastAsia="hr-HR"/>
              </w:rPr>
              <w:t>63.938,76</w:t>
            </w:r>
          </w:p>
        </w:tc>
      </w:tr>
    </w:tbl>
    <w:p w14:paraId="74A7580A" w14:textId="77777777" w:rsidR="00D11D63" w:rsidRDefault="00D11D63"/>
    <w:p w14:paraId="52E96F84" w14:textId="6F45E431" w:rsidR="00D11D63" w:rsidRDefault="00137FED">
      <w:pPr>
        <w:pStyle w:val="Opisslike"/>
      </w:pPr>
      <w:bookmarkStart w:id="36" w:name="_Toc90294222"/>
      <w:r>
        <w:t xml:space="preserve">Tablica XII </w:t>
      </w:r>
      <w:r>
        <w:rPr>
          <w:b w:val="0"/>
          <w:bCs w:val="0"/>
          <w:i/>
          <w:iCs/>
        </w:rPr>
        <w:t>račun dobiti i gubitka</w:t>
      </w:r>
      <w:bookmarkEnd w:id="36"/>
      <w:r w:rsidR="006849E3">
        <w:rPr>
          <w:b w:val="0"/>
          <w:bCs w:val="0"/>
          <w:i/>
          <w:iCs/>
        </w:rPr>
        <w:t xml:space="preserve"> za 2026.g.</w:t>
      </w:r>
    </w:p>
    <w:p w14:paraId="60680CC4" w14:textId="6D57A402" w:rsidR="00D11D63" w:rsidRDefault="00137FED">
      <w:pPr>
        <w:contextualSpacing/>
        <w:rPr>
          <w:sz w:val="24"/>
          <w:szCs w:val="24"/>
        </w:rPr>
      </w:pPr>
      <w:r>
        <w:rPr>
          <w:sz w:val="24"/>
          <w:szCs w:val="24"/>
        </w:rPr>
        <w:t>U tablici je prikazan plan ukupnih prihoda i ukupnih rashoda iz koje proizlazi očekivana bruto dobit za 202</w:t>
      </w:r>
      <w:r w:rsidR="00191FB3">
        <w:rPr>
          <w:sz w:val="24"/>
          <w:szCs w:val="24"/>
        </w:rPr>
        <w:t>6</w:t>
      </w:r>
      <w:r>
        <w:rPr>
          <w:sz w:val="24"/>
          <w:szCs w:val="24"/>
        </w:rPr>
        <w:t xml:space="preserve">. godinu u apsolutnom iznosu od </w:t>
      </w:r>
      <w:r w:rsidR="00191FB3">
        <w:rPr>
          <w:sz w:val="24"/>
          <w:szCs w:val="24"/>
        </w:rPr>
        <w:t>63.938,76</w:t>
      </w:r>
      <w:r>
        <w:rPr>
          <w:sz w:val="24"/>
          <w:szCs w:val="24"/>
        </w:rPr>
        <w:t xml:space="preserve"> EUR.</w:t>
      </w:r>
    </w:p>
    <w:p w14:paraId="12BEB809" w14:textId="77777777" w:rsidR="00D11D63" w:rsidRDefault="00137FED">
      <w:pPr>
        <w:contextualSpacing/>
        <w:rPr>
          <w:sz w:val="24"/>
          <w:szCs w:val="24"/>
        </w:rPr>
      </w:pPr>
      <w:r>
        <w:rPr>
          <w:sz w:val="24"/>
          <w:szCs w:val="24"/>
        </w:rPr>
        <w:t>Učešće troškova i bruto dobiti u ukupnim prihodima prikazano je grafom na slici br.5.</w:t>
      </w:r>
    </w:p>
    <w:p w14:paraId="39A6FC46" w14:textId="77777777" w:rsidR="00D11D63" w:rsidRDefault="00137FED">
      <w:pPr>
        <w:contextualSpacing/>
        <w:rPr>
          <w:sz w:val="24"/>
          <w:szCs w:val="24"/>
        </w:rPr>
      </w:pPr>
      <w:r>
        <w:rPr>
          <w:sz w:val="24"/>
          <w:szCs w:val="24"/>
        </w:rPr>
        <w:t>Plan u odnosu na prikazano osigurava stabilno poslovanje uz planirane aktivnosti prezentirane ovim planom.</w:t>
      </w:r>
    </w:p>
    <w:p w14:paraId="789E0B81" w14:textId="77777777" w:rsidR="00D11D63" w:rsidRDefault="00D11D63"/>
    <w:p w14:paraId="5C4F1098" w14:textId="77777777" w:rsidR="00205F1B" w:rsidRDefault="00205F1B"/>
    <w:p w14:paraId="622C4AFF" w14:textId="77777777" w:rsidR="00D11D63" w:rsidRDefault="00137FED" w:rsidP="00730FB1">
      <w:pPr>
        <w:pStyle w:val="Naslov3"/>
        <w:numPr>
          <w:ilvl w:val="0"/>
          <w:numId w:val="21"/>
        </w:numPr>
        <w:rPr>
          <w:b/>
          <w:bCs/>
        </w:rPr>
      </w:pPr>
      <w:bookmarkStart w:id="37" w:name="_Toc90294260"/>
      <w:r>
        <w:rPr>
          <w:b/>
          <w:bCs/>
        </w:rPr>
        <w:lastRenderedPageBreak/>
        <w:t>REKAPITULACIJA KAPITALNIH INVESTICIJA</w:t>
      </w:r>
      <w:bookmarkEnd w:id="37"/>
    </w:p>
    <w:p w14:paraId="584611A5" w14:textId="77777777" w:rsidR="00D11D63" w:rsidRDefault="00D11D63">
      <w:pPr>
        <w:rPr>
          <w:color w:val="FF0000"/>
        </w:rPr>
      </w:pPr>
    </w:p>
    <w:p w14:paraId="131FCE32" w14:textId="39E53F02" w:rsidR="00D11D63" w:rsidRDefault="00137FED">
      <w:pPr>
        <w:contextualSpacing/>
        <w:rPr>
          <w:sz w:val="24"/>
          <w:szCs w:val="24"/>
        </w:rPr>
      </w:pPr>
      <w:r>
        <w:rPr>
          <w:sz w:val="24"/>
          <w:szCs w:val="24"/>
        </w:rPr>
        <w:t>U 202</w:t>
      </w:r>
      <w:r w:rsidR="00B824D9">
        <w:rPr>
          <w:sz w:val="24"/>
          <w:szCs w:val="24"/>
        </w:rPr>
        <w:t>6</w:t>
      </w:r>
      <w:r>
        <w:rPr>
          <w:sz w:val="24"/>
          <w:szCs w:val="24"/>
        </w:rPr>
        <w:t>. godini planirano je započeti s investicijom energetske obnove i uređenja (adaptacije) poslovne zgrade na lokaciji Plano, uz izgradnju parkinga i nadstrešnice za komunalna vozila procijenjene vrijednosti nabave 1.</w:t>
      </w:r>
      <w:r w:rsidR="00B824D9">
        <w:rPr>
          <w:sz w:val="24"/>
          <w:szCs w:val="24"/>
        </w:rPr>
        <w:t>1</w:t>
      </w:r>
      <w:r>
        <w:rPr>
          <w:sz w:val="24"/>
          <w:szCs w:val="24"/>
        </w:rPr>
        <w:t>00.000 eura što bi u konačnici rezultiralo preseljenjem u obnovljenu zgradu u 202</w:t>
      </w:r>
      <w:r w:rsidR="00B824D9">
        <w:rPr>
          <w:sz w:val="24"/>
          <w:szCs w:val="24"/>
        </w:rPr>
        <w:t>7</w:t>
      </w:r>
      <w:r>
        <w:rPr>
          <w:sz w:val="24"/>
          <w:szCs w:val="24"/>
        </w:rPr>
        <w:t>.godini. U tu svrhu</w:t>
      </w:r>
      <w:r w:rsidR="00B824D9">
        <w:rPr>
          <w:sz w:val="24"/>
          <w:szCs w:val="24"/>
        </w:rPr>
        <w:t xml:space="preserve"> tijekom mjeseca studenog 2025. godine </w:t>
      </w:r>
      <w:r w:rsidR="00617678">
        <w:rPr>
          <w:sz w:val="24"/>
          <w:szCs w:val="24"/>
        </w:rPr>
        <w:t xml:space="preserve">proveden </w:t>
      </w:r>
      <w:r w:rsidR="00B824D9">
        <w:rPr>
          <w:sz w:val="24"/>
          <w:szCs w:val="24"/>
        </w:rPr>
        <w:t>je postupak javne nabave, a tijekom mjeseca prosinca je predviđeno sk</w:t>
      </w:r>
      <w:r w:rsidR="00D70DDA">
        <w:rPr>
          <w:sz w:val="24"/>
          <w:szCs w:val="24"/>
        </w:rPr>
        <w:t>la</w:t>
      </w:r>
      <w:r w:rsidR="00B824D9">
        <w:rPr>
          <w:sz w:val="24"/>
          <w:szCs w:val="24"/>
        </w:rPr>
        <w:t>panje ugovora s izvođačem, a  početk</w:t>
      </w:r>
      <w:r w:rsidR="00D70DDA">
        <w:rPr>
          <w:sz w:val="24"/>
          <w:szCs w:val="24"/>
        </w:rPr>
        <w:t>om</w:t>
      </w:r>
      <w:r w:rsidR="00B824D9">
        <w:rPr>
          <w:sz w:val="24"/>
          <w:szCs w:val="24"/>
        </w:rPr>
        <w:t xml:space="preserve"> siječnja 2026.g. započet</w:t>
      </w:r>
      <w:r w:rsidR="00D70DDA">
        <w:rPr>
          <w:sz w:val="24"/>
          <w:szCs w:val="24"/>
        </w:rPr>
        <w:t xml:space="preserve"> će se</w:t>
      </w:r>
      <w:r w:rsidR="00B824D9">
        <w:rPr>
          <w:sz w:val="24"/>
          <w:szCs w:val="24"/>
        </w:rPr>
        <w:t xml:space="preserve"> sa izvođenjem radova</w:t>
      </w:r>
      <w:r>
        <w:rPr>
          <w:sz w:val="24"/>
          <w:szCs w:val="24"/>
        </w:rPr>
        <w:t>.</w:t>
      </w:r>
    </w:p>
    <w:p w14:paraId="4636132E" w14:textId="77777777" w:rsidR="00D11D63" w:rsidRDefault="00D11D63">
      <w:pPr>
        <w:contextualSpacing/>
        <w:rPr>
          <w:sz w:val="24"/>
          <w:szCs w:val="24"/>
        </w:rPr>
      </w:pPr>
    </w:p>
    <w:p w14:paraId="238A9C56" w14:textId="54CD5267" w:rsidR="00D11D63" w:rsidRDefault="00137FED">
      <w:pPr>
        <w:contextualSpacing/>
        <w:rPr>
          <w:sz w:val="24"/>
          <w:szCs w:val="24"/>
        </w:rPr>
      </w:pPr>
      <w:r>
        <w:rPr>
          <w:sz w:val="24"/>
          <w:szCs w:val="24"/>
        </w:rPr>
        <w:t>Sredstava za energetsku obnovu i uređenje poslovne zgrade s parkingom i nadstrešnicom za komunalna vozila planira se osigurati putem dugoročnog kredita</w:t>
      </w:r>
      <w:r w:rsidR="00B824D9">
        <w:rPr>
          <w:sz w:val="24"/>
          <w:szCs w:val="24"/>
        </w:rPr>
        <w:t>, koji je realiziran krajem listopada 2025. godine</w:t>
      </w:r>
      <w:r>
        <w:rPr>
          <w:sz w:val="24"/>
          <w:szCs w:val="24"/>
        </w:rPr>
        <w:t xml:space="preserve">. </w:t>
      </w:r>
      <w:r w:rsidR="00B824D9">
        <w:rPr>
          <w:sz w:val="24"/>
          <w:szCs w:val="24"/>
        </w:rPr>
        <w:t xml:space="preserve">Prihvaćena je ponuda </w:t>
      </w:r>
      <w:r>
        <w:rPr>
          <w:sz w:val="24"/>
          <w:szCs w:val="24"/>
        </w:rPr>
        <w:t xml:space="preserve"> poslovne Banke</w:t>
      </w:r>
      <w:r w:rsidR="00B824D9">
        <w:rPr>
          <w:sz w:val="24"/>
          <w:szCs w:val="24"/>
        </w:rPr>
        <w:t xml:space="preserve"> sa otp</w:t>
      </w:r>
      <w:r w:rsidR="00D70DDA">
        <w:rPr>
          <w:sz w:val="24"/>
          <w:szCs w:val="24"/>
        </w:rPr>
        <w:t>la</w:t>
      </w:r>
      <w:r w:rsidR="00B824D9">
        <w:rPr>
          <w:sz w:val="24"/>
          <w:szCs w:val="24"/>
        </w:rPr>
        <w:t>tnim planom od 10 g</w:t>
      </w:r>
      <w:r>
        <w:rPr>
          <w:sz w:val="24"/>
          <w:szCs w:val="24"/>
        </w:rPr>
        <w:t>odina uz kamatnu stopu od</w:t>
      </w:r>
      <w:r w:rsidR="00B824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3,</w:t>
      </w:r>
      <w:r w:rsidR="00617678">
        <w:rPr>
          <w:sz w:val="24"/>
          <w:szCs w:val="24"/>
        </w:rPr>
        <w:t xml:space="preserve">10 </w:t>
      </w:r>
      <w:r>
        <w:rPr>
          <w:sz w:val="24"/>
          <w:szCs w:val="24"/>
        </w:rPr>
        <w:t>% uz</w:t>
      </w:r>
      <w:r w:rsidR="00617678">
        <w:rPr>
          <w:sz w:val="24"/>
          <w:szCs w:val="24"/>
        </w:rPr>
        <w:t xml:space="preserve"> </w:t>
      </w:r>
      <w:r>
        <w:rPr>
          <w:sz w:val="24"/>
          <w:szCs w:val="24"/>
        </w:rPr>
        <w:t>hipotek</w:t>
      </w:r>
      <w:r w:rsidR="00617678">
        <w:rPr>
          <w:sz w:val="24"/>
          <w:szCs w:val="24"/>
        </w:rPr>
        <w:t>u</w:t>
      </w:r>
      <w:r>
        <w:rPr>
          <w:sz w:val="24"/>
          <w:szCs w:val="24"/>
        </w:rPr>
        <w:t xml:space="preserve"> na nekretnini u Planom.</w:t>
      </w:r>
    </w:p>
    <w:p w14:paraId="24AE8706" w14:textId="77777777" w:rsidR="002E6C73" w:rsidRDefault="002E6C73">
      <w:pPr>
        <w:contextualSpacing/>
        <w:rPr>
          <w:color w:val="FF0000"/>
          <w:sz w:val="24"/>
          <w:szCs w:val="24"/>
        </w:rPr>
      </w:pPr>
    </w:p>
    <w:p w14:paraId="6347C107" w14:textId="5DF4D579" w:rsidR="00D11D63" w:rsidRPr="00946DA1" w:rsidRDefault="00137FED" w:rsidP="002E6C73">
      <w:pPr>
        <w:pStyle w:val="Naslov3"/>
        <w:numPr>
          <w:ilvl w:val="1"/>
          <w:numId w:val="22"/>
        </w:numPr>
      </w:pPr>
      <w:bookmarkStart w:id="38" w:name="_Toc90294261"/>
      <w:r w:rsidRPr="00946DA1">
        <w:t>NABAVKA  KOMUNALNIH VOZILA I OPREME ZA POTREBE TEMELJNE KOMUNALNE DJELATNOSTI</w:t>
      </w:r>
      <w:bookmarkEnd w:id="38"/>
    </w:p>
    <w:p w14:paraId="10EDF1DC" w14:textId="77777777" w:rsidR="00236E16" w:rsidRPr="00B824D9" w:rsidRDefault="00236E16" w:rsidP="00236E16">
      <w:pPr>
        <w:rPr>
          <w:highlight w:val="cyan"/>
        </w:rPr>
      </w:pPr>
    </w:p>
    <w:p w14:paraId="52C5166A" w14:textId="456E5392" w:rsidR="00D11D63" w:rsidRPr="00B824D9" w:rsidRDefault="00137FED">
      <w:pPr>
        <w:rPr>
          <w:sz w:val="24"/>
          <w:szCs w:val="24"/>
          <w:highlight w:val="cyan"/>
        </w:rPr>
      </w:pPr>
      <w:r w:rsidRPr="00156820">
        <w:rPr>
          <w:sz w:val="24"/>
          <w:szCs w:val="24"/>
        </w:rPr>
        <w:t>Planom je predviđeno financiranje nabavke vozila putem financijskog leasinga i</w:t>
      </w:r>
      <w:r w:rsidR="00D70DDA" w:rsidRPr="00156820">
        <w:rPr>
          <w:sz w:val="24"/>
          <w:szCs w:val="24"/>
        </w:rPr>
        <w:t>z</w:t>
      </w:r>
      <w:r w:rsidRPr="00156820">
        <w:rPr>
          <w:sz w:val="24"/>
          <w:szCs w:val="24"/>
        </w:rPr>
        <w:t xml:space="preserve"> operativnog prihoda Društva </w:t>
      </w:r>
      <w:r w:rsidRPr="00B12977">
        <w:rPr>
          <w:sz w:val="24"/>
          <w:szCs w:val="24"/>
        </w:rPr>
        <w:t>.</w:t>
      </w:r>
    </w:p>
    <w:p w14:paraId="6DF9B76C" w14:textId="78E28E14" w:rsidR="00D11D63" w:rsidRPr="008966FB" w:rsidRDefault="00137FED">
      <w:pPr>
        <w:pStyle w:val="Odlomakpopisa"/>
        <w:numPr>
          <w:ilvl w:val="0"/>
          <w:numId w:val="19"/>
        </w:numPr>
      </w:pPr>
      <w:r w:rsidRPr="008966FB">
        <w:rPr>
          <w:sz w:val="24"/>
          <w:szCs w:val="24"/>
        </w:rPr>
        <w:t>1 Komunalno vozilo</w:t>
      </w:r>
      <w:r w:rsidR="00156820" w:rsidRPr="008966FB">
        <w:rPr>
          <w:sz w:val="24"/>
          <w:szCs w:val="24"/>
        </w:rPr>
        <w:t xml:space="preserve"> „Piaggio“</w:t>
      </w:r>
      <w:r w:rsidRPr="008966FB">
        <w:rPr>
          <w:sz w:val="24"/>
          <w:szCs w:val="24"/>
          <w:vertAlign w:val="superscript"/>
        </w:rPr>
        <w:t xml:space="preserve">  </w:t>
      </w:r>
      <w:r w:rsidRPr="008966FB">
        <w:rPr>
          <w:sz w:val="24"/>
          <w:szCs w:val="24"/>
        </w:rPr>
        <w:t>za sakupljanje miješanog komunalnog otpada</w:t>
      </w:r>
      <w:r w:rsidR="00156820" w:rsidRPr="008966FB">
        <w:rPr>
          <w:sz w:val="24"/>
          <w:szCs w:val="24"/>
        </w:rPr>
        <w:t xml:space="preserve"> sa javno-prometnih površina za Sektor o</w:t>
      </w:r>
      <w:r w:rsidR="008966FB" w:rsidRPr="008966FB">
        <w:rPr>
          <w:sz w:val="24"/>
          <w:szCs w:val="24"/>
        </w:rPr>
        <w:t>državanja javnih i zelenih površina</w:t>
      </w:r>
    </w:p>
    <w:p w14:paraId="49C074E7" w14:textId="5A9DEFA2" w:rsidR="00236E16" w:rsidRDefault="00137FED">
      <w:pPr>
        <w:rPr>
          <w:sz w:val="24"/>
          <w:szCs w:val="24"/>
        </w:rPr>
      </w:pPr>
      <w:r w:rsidRPr="008966FB">
        <w:rPr>
          <w:sz w:val="24"/>
          <w:szCs w:val="24"/>
        </w:rPr>
        <w:t xml:space="preserve">Vrijednost vozila procjenjuje se na </w:t>
      </w:r>
      <w:r w:rsidR="008966FB" w:rsidRPr="008966FB">
        <w:rPr>
          <w:sz w:val="24"/>
          <w:szCs w:val="24"/>
        </w:rPr>
        <w:t>5</w:t>
      </w:r>
      <w:r w:rsidRPr="008966FB">
        <w:rPr>
          <w:sz w:val="24"/>
          <w:szCs w:val="24"/>
        </w:rPr>
        <w:t>0.000,00 eura.</w:t>
      </w:r>
    </w:p>
    <w:p w14:paraId="04160BDB" w14:textId="77777777" w:rsidR="000D05AE" w:rsidRDefault="00AF1CE2" w:rsidP="00AF1CE2">
      <w:pPr>
        <w:pStyle w:val="Odlomakpopis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1 komunalno vozilo</w:t>
      </w:r>
      <w:r w:rsidR="00811B88">
        <w:rPr>
          <w:sz w:val="24"/>
          <w:szCs w:val="24"/>
        </w:rPr>
        <w:t xml:space="preserve"> „</w:t>
      </w:r>
      <w:r w:rsidR="00D23559">
        <w:rPr>
          <w:sz w:val="24"/>
          <w:szCs w:val="24"/>
        </w:rPr>
        <w:t>navlakač kontejnera</w:t>
      </w:r>
      <w:r w:rsidR="00DA1A1F">
        <w:rPr>
          <w:sz w:val="24"/>
          <w:szCs w:val="24"/>
        </w:rPr>
        <w:t xml:space="preserve"> 6x2“ za transport komunalnog otpada </w:t>
      </w:r>
      <w:r w:rsidR="00BF11CD">
        <w:rPr>
          <w:sz w:val="24"/>
          <w:szCs w:val="24"/>
        </w:rPr>
        <w:t xml:space="preserve">za Sektor komunalnih poslova </w:t>
      </w:r>
    </w:p>
    <w:p w14:paraId="1861D82B" w14:textId="77777777" w:rsidR="000D05AE" w:rsidRDefault="000D05AE" w:rsidP="000D05AE">
      <w:pPr>
        <w:rPr>
          <w:sz w:val="24"/>
          <w:szCs w:val="24"/>
        </w:rPr>
      </w:pPr>
      <w:r>
        <w:rPr>
          <w:sz w:val="24"/>
          <w:szCs w:val="24"/>
        </w:rPr>
        <w:t>Vrijednost vozila procjenjuje se na 250.000,00 eura.</w:t>
      </w:r>
    </w:p>
    <w:p w14:paraId="7444E64C" w14:textId="448A089B" w:rsidR="00AF1CE2" w:rsidRPr="000D05AE" w:rsidRDefault="00FD172A" w:rsidP="000D05AE">
      <w:pPr>
        <w:pStyle w:val="Odlomakpopis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Sustav za evidenciju otpada „Smart beg“ procijenjene vrijednosti 50.000,00 eura.</w:t>
      </w:r>
      <w:r w:rsidR="00BF11CD" w:rsidRPr="000D05AE">
        <w:rPr>
          <w:sz w:val="24"/>
          <w:szCs w:val="24"/>
        </w:rPr>
        <w:t xml:space="preserve"> </w:t>
      </w:r>
    </w:p>
    <w:p w14:paraId="1B01497C" w14:textId="77777777" w:rsidR="00CD3350" w:rsidRDefault="00CD3350">
      <w:pPr>
        <w:rPr>
          <w:sz w:val="24"/>
          <w:szCs w:val="24"/>
          <w:highlight w:val="cyan"/>
        </w:rPr>
      </w:pPr>
    </w:p>
    <w:p w14:paraId="0982415C" w14:textId="77777777" w:rsidR="00205F1B" w:rsidRDefault="00205F1B">
      <w:pPr>
        <w:rPr>
          <w:sz w:val="24"/>
          <w:szCs w:val="24"/>
          <w:highlight w:val="cyan"/>
        </w:rPr>
      </w:pPr>
    </w:p>
    <w:p w14:paraId="79AB726F" w14:textId="77777777" w:rsidR="00205F1B" w:rsidRDefault="00205F1B">
      <w:pPr>
        <w:rPr>
          <w:sz w:val="24"/>
          <w:szCs w:val="24"/>
          <w:highlight w:val="cyan"/>
        </w:rPr>
      </w:pPr>
    </w:p>
    <w:p w14:paraId="009E0C7D" w14:textId="77777777" w:rsidR="00205F1B" w:rsidRDefault="00205F1B">
      <w:pPr>
        <w:rPr>
          <w:sz w:val="24"/>
          <w:szCs w:val="24"/>
          <w:highlight w:val="cyan"/>
        </w:rPr>
      </w:pPr>
    </w:p>
    <w:p w14:paraId="3DD5E42A" w14:textId="77777777" w:rsidR="00205F1B" w:rsidRPr="00B824D9" w:rsidRDefault="00205F1B">
      <w:pPr>
        <w:rPr>
          <w:sz w:val="24"/>
          <w:szCs w:val="24"/>
          <w:highlight w:val="cyan"/>
        </w:rPr>
      </w:pPr>
    </w:p>
    <w:p w14:paraId="53531C48" w14:textId="77777777" w:rsidR="00D11D63" w:rsidRPr="00312D1E" w:rsidRDefault="00137FED" w:rsidP="002E6C73">
      <w:pPr>
        <w:pStyle w:val="Naslov3"/>
        <w:numPr>
          <w:ilvl w:val="0"/>
          <w:numId w:val="22"/>
        </w:numPr>
        <w:rPr>
          <w:b/>
          <w:bCs/>
        </w:rPr>
      </w:pPr>
      <w:r w:rsidRPr="00312D1E">
        <w:rPr>
          <w:b/>
          <w:bCs/>
        </w:rPr>
        <w:lastRenderedPageBreak/>
        <w:t xml:space="preserve"> </w:t>
      </w:r>
      <w:bookmarkStart w:id="39" w:name="_Toc90294262"/>
      <w:r w:rsidRPr="00312D1E">
        <w:rPr>
          <w:b/>
          <w:bCs/>
        </w:rPr>
        <w:t>AKCIJSKI CILJEVI I FINANCIRANJE DRUŠTVA TROGIR HOLDING d.o.o.</w:t>
      </w:r>
      <w:bookmarkEnd w:id="39"/>
    </w:p>
    <w:p w14:paraId="3670D89D" w14:textId="77777777" w:rsidR="00D11D63" w:rsidRPr="00B824D9" w:rsidRDefault="00D11D63">
      <w:pPr>
        <w:rPr>
          <w:highlight w:val="cyan"/>
        </w:rPr>
      </w:pPr>
    </w:p>
    <w:p w14:paraId="2232CC70" w14:textId="03FA9325" w:rsidR="00D11D63" w:rsidRPr="00D70DDA" w:rsidRDefault="00137FED">
      <w:pPr>
        <w:contextualSpacing/>
        <w:rPr>
          <w:sz w:val="24"/>
          <w:szCs w:val="24"/>
        </w:rPr>
      </w:pPr>
      <w:r w:rsidRPr="00D70DDA">
        <w:rPr>
          <w:sz w:val="24"/>
          <w:szCs w:val="24"/>
        </w:rPr>
        <w:t>Plan poslovanja Trogir Holdinga d.o.o. za 202</w:t>
      </w:r>
      <w:r w:rsidR="00D70DDA" w:rsidRPr="00D70DDA">
        <w:rPr>
          <w:sz w:val="24"/>
          <w:szCs w:val="24"/>
        </w:rPr>
        <w:t>6</w:t>
      </w:r>
      <w:r w:rsidRPr="00D70DDA">
        <w:rPr>
          <w:sz w:val="24"/>
          <w:szCs w:val="24"/>
        </w:rPr>
        <w:t>. godinu bit će usmjeren ka realizaciji slijedećih primarnih ciljeva:</w:t>
      </w:r>
    </w:p>
    <w:p w14:paraId="11D9B085" w14:textId="77777777" w:rsidR="00D11D63" w:rsidRPr="00B824D9" w:rsidRDefault="00D11D63">
      <w:pPr>
        <w:contextualSpacing/>
        <w:rPr>
          <w:sz w:val="24"/>
          <w:szCs w:val="24"/>
          <w:highlight w:val="cyan"/>
        </w:rPr>
      </w:pPr>
    </w:p>
    <w:p w14:paraId="67558AE6" w14:textId="1BBC46D0" w:rsidR="00D11D63" w:rsidRPr="00AC6F2B" w:rsidRDefault="00137FED">
      <w:pPr>
        <w:pStyle w:val="Odlomakpopisa"/>
        <w:numPr>
          <w:ilvl w:val="0"/>
          <w:numId w:val="20"/>
        </w:numPr>
        <w:rPr>
          <w:sz w:val="24"/>
          <w:szCs w:val="24"/>
        </w:rPr>
      </w:pPr>
      <w:r w:rsidRPr="00AC6F2B">
        <w:rPr>
          <w:sz w:val="24"/>
          <w:szCs w:val="24"/>
        </w:rPr>
        <w:t xml:space="preserve">Završetak implementacije cjelovitog sustava za evidenciju MKO na ukupnom području JLS (polupodzemni spremnici, </w:t>
      </w:r>
      <w:r w:rsidR="00F54154" w:rsidRPr="00AC6F2B">
        <w:rPr>
          <w:sz w:val="24"/>
          <w:szCs w:val="24"/>
        </w:rPr>
        <w:t>smartbegovi</w:t>
      </w:r>
      <w:r w:rsidRPr="00AC6F2B">
        <w:rPr>
          <w:sz w:val="24"/>
          <w:szCs w:val="24"/>
        </w:rPr>
        <w:t xml:space="preserve">, </w:t>
      </w:r>
      <w:r w:rsidR="00617678" w:rsidRPr="00AC6F2B">
        <w:rPr>
          <w:sz w:val="24"/>
          <w:szCs w:val="24"/>
        </w:rPr>
        <w:t>softver</w:t>
      </w:r>
      <w:r w:rsidRPr="00AC6F2B">
        <w:rPr>
          <w:sz w:val="24"/>
          <w:szCs w:val="24"/>
        </w:rPr>
        <w:t xml:space="preserve"> za evidenciju, spremnici za otpad, uz nabavku nove opreme i vozila u cilju poboljšanja usluge korisnicima)</w:t>
      </w:r>
    </w:p>
    <w:p w14:paraId="57BE7651" w14:textId="49FEB9A0" w:rsidR="00D11D63" w:rsidRPr="00AC6F2B" w:rsidRDefault="00137FED">
      <w:pPr>
        <w:pStyle w:val="Odlomakpopisa"/>
        <w:numPr>
          <w:ilvl w:val="0"/>
          <w:numId w:val="20"/>
        </w:numPr>
        <w:rPr>
          <w:sz w:val="24"/>
          <w:szCs w:val="24"/>
        </w:rPr>
      </w:pPr>
      <w:r w:rsidRPr="00AC6F2B">
        <w:rPr>
          <w:sz w:val="24"/>
          <w:szCs w:val="24"/>
        </w:rPr>
        <w:t>Postavljanje dodatnih</w:t>
      </w:r>
      <w:r w:rsidR="00F54154" w:rsidRPr="00AC6F2B">
        <w:rPr>
          <w:sz w:val="24"/>
          <w:szCs w:val="24"/>
        </w:rPr>
        <w:t xml:space="preserve"> individualnih</w:t>
      </w:r>
      <w:r w:rsidRPr="00AC6F2B">
        <w:rPr>
          <w:sz w:val="24"/>
          <w:szCs w:val="24"/>
        </w:rPr>
        <w:t xml:space="preserve"> spremnika, povećanje kapaciteta sukladno potrebama prikupljanja sa javnih  površina JLS,</w:t>
      </w:r>
      <w:r w:rsidR="00F54154" w:rsidRPr="00AC6F2B">
        <w:rPr>
          <w:sz w:val="24"/>
          <w:szCs w:val="24"/>
        </w:rPr>
        <w:t xml:space="preserve"> uz smanjenje zajedničkih spremnika</w:t>
      </w:r>
    </w:p>
    <w:p w14:paraId="40CDD652" w14:textId="77777777" w:rsidR="00D11D63" w:rsidRPr="00AC6F2B" w:rsidRDefault="00137FED">
      <w:pPr>
        <w:pStyle w:val="Odlomakpopisa"/>
        <w:numPr>
          <w:ilvl w:val="0"/>
          <w:numId w:val="20"/>
        </w:numPr>
        <w:rPr>
          <w:sz w:val="24"/>
          <w:szCs w:val="24"/>
        </w:rPr>
      </w:pPr>
      <w:r w:rsidRPr="00AC6F2B">
        <w:rPr>
          <w:sz w:val="24"/>
          <w:szCs w:val="24"/>
        </w:rPr>
        <w:t>Daljnje modernizacije komunalnih vozila i ostale opreme za odvojeno sakupljanje otpada sa javnih površina i lokacija korisnika,</w:t>
      </w:r>
    </w:p>
    <w:p w14:paraId="33A3D9E9" w14:textId="34CDA1A4" w:rsidR="00D11D63" w:rsidRPr="00AC6F2B" w:rsidRDefault="00137FED">
      <w:pPr>
        <w:pStyle w:val="Odlomakpopisa"/>
        <w:numPr>
          <w:ilvl w:val="0"/>
          <w:numId w:val="20"/>
        </w:numPr>
        <w:rPr>
          <w:sz w:val="24"/>
          <w:szCs w:val="24"/>
        </w:rPr>
      </w:pPr>
      <w:r w:rsidRPr="00AC6F2B">
        <w:rPr>
          <w:sz w:val="24"/>
          <w:szCs w:val="24"/>
        </w:rPr>
        <w:t>Rast odvojeno prikupljenog komunalnog otpada u odnosu na 202</w:t>
      </w:r>
      <w:r w:rsidR="00AC6F2B" w:rsidRPr="00AC6F2B">
        <w:rPr>
          <w:sz w:val="24"/>
          <w:szCs w:val="24"/>
        </w:rPr>
        <w:t>5</w:t>
      </w:r>
      <w:r w:rsidRPr="00AC6F2B">
        <w:rPr>
          <w:sz w:val="24"/>
          <w:szCs w:val="24"/>
        </w:rPr>
        <w:t>.g. do ciljanog postotka od 22 %</w:t>
      </w:r>
    </w:p>
    <w:p w14:paraId="2FEB9C7B" w14:textId="77777777" w:rsidR="00D11D63" w:rsidRPr="00AC6F2B" w:rsidRDefault="00137FED">
      <w:pPr>
        <w:pStyle w:val="Odlomakpopisa"/>
        <w:numPr>
          <w:ilvl w:val="0"/>
          <w:numId w:val="20"/>
        </w:numPr>
        <w:rPr>
          <w:sz w:val="24"/>
          <w:szCs w:val="24"/>
        </w:rPr>
      </w:pPr>
      <w:r w:rsidRPr="00AC6F2B">
        <w:rPr>
          <w:sz w:val="24"/>
          <w:szCs w:val="24"/>
        </w:rPr>
        <w:t xml:space="preserve">II faza uređenja lokacija Plano, </w:t>
      </w:r>
    </w:p>
    <w:p w14:paraId="7CDEF68B" w14:textId="77777777" w:rsidR="00D11D63" w:rsidRPr="00AC6F2B" w:rsidRDefault="00137FED">
      <w:pPr>
        <w:pStyle w:val="Odlomakpopisa"/>
        <w:numPr>
          <w:ilvl w:val="0"/>
          <w:numId w:val="20"/>
        </w:numPr>
        <w:rPr>
          <w:sz w:val="24"/>
          <w:szCs w:val="24"/>
        </w:rPr>
      </w:pPr>
      <w:r w:rsidRPr="00AC6F2B">
        <w:rPr>
          <w:sz w:val="24"/>
          <w:szCs w:val="24"/>
        </w:rPr>
        <w:t>Ozelenjivanje javnih površina na području Grada Trogira</w:t>
      </w:r>
    </w:p>
    <w:p w14:paraId="10A526DD" w14:textId="77777777" w:rsidR="00D11D63" w:rsidRPr="00AC6F2B" w:rsidRDefault="00137FED">
      <w:pPr>
        <w:pStyle w:val="Odlomakpopisa"/>
        <w:numPr>
          <w:ilvl w:val="0"/>
          <w:numId w:val="20"/>
        </w:numPr>
        <w:rPr>
          <w:sz w:val="24"/>
          <w:szCs w:val="24"/>
        </w:rPr>
      </w:pPr>
      <w:r w:rsidRPr="00AC6F2B">
        <w:rPr>
          <w:sz w:val="24"/>
          <w:szCs w:val="24"/>
        </w:rPr>
        <w:t xml:space="preserve">Izgradnja, uređenje i opremanje postojećih i novih parkirališta </w:t>
      </w:r>
    </w:p>
    <w:p w14:paraId="2AD0A336" w14:textId="77777777" w:rsidR="00D11D63" w:rsidRPr="00AC6F2B" w:rsidRDefault="00137FED">
      <w:pPr>
        <w:pStyle w:val="Odlomakpopisa"/>
        <w:numPr>
          <w:ilvl w:val="0"/>
          <w:numId w:val="20"/>
        </w:numPr>
        <w:rPr>
          <w:sz w:val="24"/>
          <w:szCs w:val="24"/>
        </w:rPr>
      </w:pPr>
      <w:r w:rsidRPr="00AC6F2B">
        <w:rPr>
          <w:sz w:val="24"/>
          <w:szCs w:val="24"/>
        </w:rPr>
        <w:t>Uređenje i opremanje tržnice</w:t>
      </w:r>
    </w:p>
    <w:p w14:paraId="21120791" w14:textId="77777777" w:rsidR="00D11D63" w:rsidRPr="00AC6F2B" w:rsidRDefault="00137FED">
      <w:pPr>
        <w:pStyle w:val="Odlomakpopisa"/>
        <w:numPr>
          <w:ilvl w:val="0"/>
          <w:numId w:val="20"/>
        </w:numPr>
        <w:rPr>
          <w:sz w:val="24"/>
          <w:szCs w:val="24"/>
        </w:rPr>
      </w:pPr>
      <w:r w:rsidRPr="00AC6F2B">
        <w:rPr>
          <w:sz w:val="24"/>
          <w:szCs w:val="24"/>
        </w:rPr>
        <w:t>Uređenje i opremanje Gradskog groblja</w:t>
      </w:r>
    </w:p>
    <w:p w14:paraId="4BB8FAF3" w14:textId="77777777" w:rsidR="00D11D63" w:rsidRPr="00B824D9" w:rsidRDefault="00D11D63">
      <w:pPr>
        <w:pStyle w:val="Naslov3"/>
        <w:rPr>
          <w:b/>
          <w:bCs/>
          <w:color w:val="000000"/>
          <w:highlight w:val="cyan"/>
        </w:rPr>
      </w:pPr>
    </w:p>
    <w:p w14:paraId="12801BBD" w14:textId="77777777" w:rsidR="00D11D63" w:rsidRPr="00B824D9" w:rsidRDefault="00D11D63">
      <w:pPr>
        <w:rPr>
          <w:color w:val="000000"/>
          <w:highlight w:val="cyan"/>
        </w:rPr>
      </w:pPr>
    </w:p>
    <w:p w14:paraId="57B4E4DF" w14:textId="77777777" w:rsidR="00D11D63" w:rsidRPr="00B824D9" w:rsidRDefault="00D11D63">
      <w:pPr>
        <w:rPr>
          <w:color w:val="000000"/>
          <w:highlight w:val="cyan"/>
        </w:rPr>
      </w:pPr>
    </w:p>
    <w:p w14:paraId="5E0A9964" w14:textId="77777777" w:rsidR="00D11D63" w:rsidRPr="00B824D9" w:rsidRDefault="00D11D63">
      <w:pPr>
        <w:pageBreakBefore/>
        <w:rPr>
          <w:color w:val="000000"/>
          <w:highlight w:val="cyan"/>
        </w:rPr>
      </w:pPr>
    </w:p>
    <w:p w14:paraId="57AB87DD" w14:textId="77777777" w:rsidR="00D11D63" w:rsidRPr="00AC6F2B" w:rsidRDefault="00137FED" w:rsidP="002E6C73">
      <w:pPr>
        <w:pStyle w:val="Naslov3"/>
        <w:numPr>
          <w:ilvl w:val="0"/>
          <w:numId w:val="22"/>
        </w:numPr>
        <w:rPr>
          <w:b/>
          <w:bCs/>
        </w:rPr>
      </w:pPr>
      <w:bookmarkStart w:id="40" w:name="_Toc90294263"/>
      <w:r w:rsidRPr="00AC6F2B">
        <w:rPr>
          <w:b/>
          <w:bCs/>
        </w:rPr>
        <w:t>ZAKLJUČAK</w:t>
      </w:r>
      <w:bookmarkEnd w:id="40"/>
    </w:p>
    <w:p w14:paraId="6A8810C2" w14:textId="77777777" w:rsidR="00D11D63" w:rsidRPr="00B824D9" w:rsidRDefault="00D11D63">
      <w:pPr>
        <w:rPr>
          <w:highlight w:val="cyan"/>
        </w:rPr>
      </w:pPr>
    </w:p>
    <w:p w14:paraId="00F7DCC4" w14:textId="674B5E09" w:rsidR="00D11D63" w:rsidRPr="00331ED0" w:rsidRDefault="00137FED">
      <w:pPr>
        <w:contextualSpacing/>
        <w:rPr>
          <w:sz w:val="24"/>
          <w:szCs w:val="24"/>
        </w:rPr>
      </w:pPr>
      <w:r w:rsidRPr="00331ED0">
        <w:rPr>
          <w:sz w:val="24"/>
          <w:szCs w:val="24"/>
        </w:rPr>
        <w:t>Plan poslovanja trgovačkog društva Trogir Holding d.o.o. za 202</w:t>
      </w:r>
      <w:r w:rsidR="00AC6F2B" w:rsidRPr="00331ED0">
        <w:rPr>
          <w:sz w:val="24"/>
          <w:szCs w:val="24"/>
        </w:rPr>
        <w:t>6</w:t>
      </w:r>
      <w:r w:rsidRPr="00331ED0">
        <w:rPr>
          <w:sz w:val="24"/>
          <w:szCs w:val="24"/>
        </w:rPr>
        <w:t>. godinu predstavlja ravnomjeran plan razvoja u svim Sektorima Društva usmjeren ka ostvarenju dugoročnih ciljeva Društva u pogledu samoodrživog poslovanja Društva, pružanju zadovoljavajućih usluga korisnicima komunalnih usluga, kao i zadovoljavanju potreba osnivača Društva.</w:t>
      </w:r>
    </w:p>
    <w:p w14:paraId="3FDCE91A" w14:textId="77777777" w:rsidR="00D11D63" w:rsidRPr="00331ED0" w:rsidRDefault="00D11D63">
      <w:pPr>
        <w:contextualSpacing/>
        <w:rPr>
          <w:sz w:val="24"/>
          <w:szCs w:val="24"/>
        </w:rPr>
      </w:pPr>
    </w:p>
    <w:p w14:paraId="18E75022" w14:textId="77777777" w:rsidR="00D11D63" w:rsidRPr="00331ED0" w:rsidRDefault="00137FED">
      <w:pPr>
        <w:contextualSpacing/>
        <w:rPr>
          <w:sz w:val="24"/>
          <w:szCs w:val="24"/>
        </w:rPr>
      </w:pPr>
      <w:r w:rsidRPr="00331ED0">
        <w:rPr>
          <w:sz w:val="24"/>
          <w:szCs w:val="24"/>
        </w:rPr>
        <w:t>Razvoj kvalitete usluga usmjeren je na podizanju urbane kvalitete života u Gradu odnosno zadovoljenju komunalnih standarda modernog društva.</w:t>
      </w:r>
    </w:p>
    <w:p w14:paraId="7CF9E471" w14:textId="77777777" w:rsidR="00D11D63" w:rsidRPr="00B824D9" w:rsidRDefault="00D11D63">
      <w:pPr>
        <w:contextualSpacing/>
        <w:rPr>
          <w:sz w:val="24"/>
          <w:szCs w:val="24"/>
          <w:highlight w:val="cyan"/>
        </w:rPr>
      </w:pPr>
    </w:p>
    <w:p w14:paraId="19BDB6D1" w14:textId="7BC3694E" w:rsidR="00D11D63" w:rsidRPr="00331ED0" w:rsidRDefault="00137FED">
      <w:pPr>
        <w:contextualSpacing/>
        <w:rPr>
          <w:sz w:val="24"/>
          <w:szCs w:val="24"/>
        </w:rPr>
      </w:pPr>
      <w:r w:rsidRPr="00331ED0">
        <w:rPr>
          <w:sz w:val="24"/>
          <w:szCs w:val="24"/>
        </w:rPr>
        <w:t>Naglasak u radu Uprave društva je na osiguranju ravnomjernih prihoda i rashoda Društva uz kontinuirano poboljšanje poslovnih procesa, optimalizacije troškova poslovanja i poboljšanju radnih procesa koji u konačnici trebaju poboljšati i samu uslugu krajnjim korisnicima, kao i kontinuirano povećanja plaća radnika.</w:t>
      </w:r>
    </w:p>
    <w:p w14:paraId="1E1B3BD5" w14:textId="77777777" w:rsidR="00D11D63" w:rsidRPr="00331ED0" w:rsidRDefault="00D11D63">
      <w:pPr>
        <w:contextualSpacing/>
        <w:rPr>
          <w:sz w:val="24"/>
          <w:szCs w:val="24"/>
        </w:rPr>
      </w:pPr>
    </w:p>
    <w:p w14:paraId="15D30DEF" w14:textId="77777777" w:rsidR="00D11D63" w:rsidRPr="00331ED0" w:rsidRDefault="00137FED">
      <w:pPr>
        <w:contextualSpacing/>
        <w:rPr>
          <w:sz w:val="24"/>
          <w:szCs w:val="24"/>
        </w:rPr>
      </w:pPr>
      <w:r w:rsidRPr="00331ED0">
        <w:rPr>
          <w:sz w:val="24"/>
          <w:szCs w:val="24"/>
        </w:rPr>
        <w:t>Kako bi maksimizirali doprinos razvoju na području Grada Trogira, suradnja sa lokalnom samoupravom, ujedno i našim osnivačem mora biti jasna i koordinirana.</w:t>
      </w:r>
    </w:p>
    <w:p w14:paraId="5CCA3C1A" w14:textId="77777777" w:rsidR="00D11D63" w:rsidRPr="00331ED0" w:rsidRDefault="00D11D63">
      <w:pPr>
        <w:contextualSpacing/>
        <w:rPr>
          <w:sz w:val="24"/>
          <w:szCs w:val="24"/>
        </w:rPr>
      </w:pPr>
    </w:p>
    <w:p w14:paraId="557086B6" w14:textId="77777777" w:rsidR="00D11D63" w:rsidRPr="00331ED0" w:rsidRDefault="00137FED">
      <w:pPr>
        <w:contextualSpacing/>
        <w:rPr>
          <w:sz w:val="24"/>
          <w:szCs w:val="24"/>
        </w:rPr>
      </w:pPr>
      <w:r w:rsidRPr="00331ED0">
        <w:rPr>
          <w:sz w:val="24"/>
          <w:szCs w:val="24"/>
        </w:rPr>
        <w:t xml:space="preserve">Isto tako nužno je jačati suradnju unutar kolektiva društva, koja se mora se temeljiti na jasnoj komunikaciji, osobnoj odgovornosti, povjerenju, te jačanju osjećaja pripadnosti kolektivu.  </w:t>
      </w:r>
    </w:p>
    <w:p w14:paraId="58ECE914" w14:textId="77777777" w:rsidR="00D11D63" w:rsidRPr="00331ED0" w:rsidRDefault="00137FED">
      <w:pPr>
        <w:contextualSpacing/>
        <w:rPr>
          <w:sz w:val="24"/>
          <w:szCs w:val="24"/>
        </w:rPr>
      </w:pPr>
      <w:r w:rsidRPr="00331ED0">
        <w:rPr>
          <w:sz w:val="24"/>
          <w:szCs w:val="24"/>
        </w:rPr>
        <w:t xml:space="preserve">      </w:t>
      </w:r>
    </w:p>
    <w:p w14:paraId="13B692DD" w14:textId="77777777" w:rsidR="00D11D63" w:rsidRDefault="00137FED">
      <w:pPr>
        <w:contextualSpacing/>
        <w:rPr>
          <w:sz w:val="24"/>
          <w:szCs w:val="24"/>
        </w:rPr>
      </w:pPr>
      <w:r w:rsidRPr="00331ED0">
        <w:rPr>
          <w:sz w:val="24"/>
          <w:szCs w:val="24"/>
        </w:rPr>
        <w:t>Kako djelatnost koju obavljamo  pretpostavlja odgovorno ponašanje naspram okoliša koji nas okružuje, jedna od primarnih zadaća nam je da istu tu odgovornost prenosimo i na naše korisnike.</w:t>
      </w:r>
      <w:r>
        <w:rPr>
          <w:sz w:val="24"/>
          <w:szCs w:val="24"/>
        </w:rPr>
        <w:t xml:space="preserve"> </w:t>
      </w:r>
    </w:p>
    <w:p w14:paraId="5E2CDFA8" w14:textId="77777777" w:rsidR="00D11D63" w:rsidRDefault="00D11D63">
      <w:pPr>
        <w:contextualSpacing/>
        <w:rPr>
          <w:color w:val="FF0000"/>
          <w:sz w:val="24"/>
          <w:szCs w:val="24"/>
        </w:rPr>
      </w:pPr>
    </w:p>
    <w:p w14:paraId="25D3DB61" w14:textId="77777777" w:rsidR="00FA45EA" w:rsidRPr="001A252A" w:rsidRDefault="00FA45EA" w:rsidP="00FA45EA">
      <w:pPr>
        <w:spacing w:line="240" w:lineRule="auto"/>
        <w:rPr>
          <w:color w:val="000000" w:themeColor="text1"/>
        </w:rPr>
      </w:pPr>
    </w:p>
    <w:p w14:paraId="4B93F021" w14:textId="1E0641E1" w:rsidR="00FA45EA" w:rsidRPr="001A252A" w:rsidRDefault="00FA45EA" w:rsidP="00FA45EA">
      <w:pPr>
        <w:spacing w:line="240" w:lineRule="auto"/>
        <w:rPr>
          <w:color w:val="000000" w:themeColor="text1"/>
        </w:rPr>
      </w:pPr>
      <w:r w:rsidRPr="3E8A7876">
        <w:rPr>
          <w:color w:val="000000" w:themeColor="text1"/>
        </w:rPr>
        <w:t>KLASA</w:t>
      </w:r>
      <w:r w:rsidR="007133E2">
        <w:rPr>
          <w:color w:val="000000" w:themeColor="text1"/>
        </w:rPr>
        <w:t>: 400-04/25-01/4</w:t>
      </w:r>
    </w:p>
    <w:p w14:paraId="056FFE4E" w14:textId="7649A825" w:rsidR="00FA45EA" w:rsidRPr="001A252A" w:rsidRDefault="00FA45EA" w:rsidP="00FA45EA">
      <w:pPr>
        <w:spacing w:line="240" w:lineRule="auto"/>
        <w:rPr>
          <w:color w:val="000000" w:themeColor="text1"/>
        </w:rPr>
      </w:pPr>
      <w:r w:rsidRPr="3E8A7876">
        <w:rPr>
          <w:color w:val="000000" w:themeColor="text1"/>
        </w:rPr>
        <w:t xml:space="preserve">URBROJ: </w:t>
      </w:r>
      <w:r w:rsidR="007133E2">
        <w:rPr>
          <w:color w:val="000000" w:themeColor="text1"/>
        </w:rPr>
        <w:t>2181-13-5-01/004-25-1</w:t>
      </w:r>
    </w:p>
    <w:p w14:paraId="347BA16C" w14:textId="73CD4C20" w:rsidR="00FA45EA" w:rsidRPr="001A252A" w:rsidRDefault="00FA45EA" w:rsidP="00FA45EA">
      <w:pPr>
        <w:spacing w:line="240" w:lineRule="auto"/>
        <w:rPr>
          <w:color w:val="000000" w:themeColor="text1"/>
        </w:rPr>
      </w:pPr>
      <w:r w:rsidRPr="3E8A7876">
        <w:rPr>
          <w:color w:val="000000" w:themeColor="text1"/>
        </w:rPr>
        <w:t xml:space="preserve">Trogir, </w:t>
      </w:r>
      <w:r w:rsidR="007133E2">
        <w:rPr>
          <w:color w:val="000000" w:themeColor="text1"/>
        </w:rPr>
        <w:t>09</w:t>
      </w:r>
      <w:r w:rsidRPr="3E8A7876">
        <w:rPr>
          <w:color w:val="000000" w:themeColor="text1"/>
        </w:rPr>
        <w:t>. prosinca 202</w:t>
      </w:r>
      <w:r w:rsidR="00B824D9">
        <w:rPr>
          <w:color w:val="000000" w:themeColor="text1"/>
        </w:rPr>
        <w:t>5</w:t>
      </w:r>
      <w:r w:rsidRPr="3E8A7876">
        <w:rPr>
          <w:color w:val="000000" w:themeColor="text1"/>
        </w:rPr>
        <w:t>.</w:t>
      </w:r>
    </w:p>
    <w:p w14:paraId="02DC9D90" w14:textId="77777777" w:rsidR="00D11D63" w:rsidRDefault="00D11D63">
      <w:pPr>
        <w:spacing w:line="240" w:lineRule="auto"/>
        <w:rPr>
          <w:color w:val="000000"/>
        </w:rPr>
      </w:pPr>
    </w:p>
    <w:p w14:paraId="64954685" w14:textId="77777777" w:rsidR="00D11D63" w:rsidRDefault="00D11D63">
      <w:pPr>
        <w:spacing w:line="240" w:lineRule="auto"/>
        <w:rPr>
          <w:color w:val="000000"/>
        </w:rPr>
      </w:pPr>
    </w:p>
    <w:p w14:paraId="4DBF58C6" w14:textId="77777777" w:rsidR="00D11D63" w:rsidRDefault="00137FED">
      <w:pPr>
        <w:ind w:left="4320"/>
        <w:rPr>
          <w:i/>
          <w:iCs/>
          <w:color w:val="000000"/>
        </w:rPr>
      </w:pPr>
      <w:r>
        <w:rPr>
          <w:i/>
          <w:iCs/>
          <w:color w:val="000000"/>
        </w:rPr>
        <w:t>PREDSJEDNIK UPRAVE TROGIR HOLDING d.o.o.</w:t>
      </w:r>
    </w:p>
    <w:p w14:paraId="40BD8975" w14:textId="77777777" w:rsidR="00D11D63" w:rsidRDefault="00137FED">
      <w:pPr>
        <w:ind w:left="4320"/>
        <w:rPr>
          <w:i/>
          <w:iCs/>
          <w:color w:val="000000"/>
        </w:rPr>
      </w:pPr>
      <w:r>
        <w:rPr>
          <w:i/>
          <w:iCs/>
          <w:color w:val="000000"/>
        </w:rPr>
        <w:t>Danijel Kukoč dipl.iur.univ.spec.oec..</w:t>
      </w:r>
    </w:p>
    <w:p w14:paraId="424F2C10" w14:textId="77777777" w:rsidR="00D11D63" w:rsidRDefault="00D11D63">
      <w:pPr>
        <w:ind w:left="4320"/>
        <w:rPr>
          <w:i/>
          <w:iCs/>
          <w:color w:val="000000"/>
        </w:rPr>
      </w:pPr>
    </w:p>
    <w:p w14:paraId="48827894" w14:textId="77777777" w:rsidR="00D11D63" w:rsidRDefault="00D11D63">
      <w:pPr>
        <w:pStyle w:val="Tablicaslika"/>
        <w:tabs>
          <w:tab w:val="right" w:leader="dot" w:pos="9016"/>
        </w:tabs>
      </w:pPr>
      <w:hyperlink w:anchor="_Toc90294334" w:history="1">
        <w:r>
          <w:rPr>
            <w:rStyle w:val="Hiperveza"/>
            <w:color w:val="000000"/>
          </w:rPr>
          <w:t xml:space="preserve">Slika I </w:t>
        </w:r>
        <w:r>
          <w:rPr>
            <w:rStyle w:val="Hiperveza"/>
            <w:i/>
            <w:iCs/>
            <w:color w:val="000000"/>
          </w:rPr>
          <w:t>Organizacijska struktura trgovačkog društva Trogir Holding d.o.o.</w:t>
        </w:r>
        <w:r>
          <w:rPr>
            <w:color w:val="000000"/>
          </w:rPr>
          <w:tab/>
          <w:t>5</w:t>
        </w:r>
      </w:hyperlink>
    </w:p>
    <w:p w14:paraId="5058A992" w14:textId="77777777" w:rsidR="00D11D63" w:rsidRDefault="00D11D63">
      <w:pPr>
        <w:pStyle w:val="Tablicaslika"/>
        <w:tabs>
          <w:tab w:val="right" w:leader="dot" w:pos="9016"/>
        </w:tabs>
      </w:pPr>
      <w:hyperlink w:anchor="_Toc90294335" w:history="1">
        <w:r>
          <w:rPr>
            <w:rStyle w:val="Hiperveza"/>
            <w:color w:val="000000"/>
          </w:rPr>
          <w:t xml:space="preserve">Slika II </w:t>
        </w:r>
        <w:r>
          <w:rPr>
            <w:rStyle w:val="Hiperveza"/>
            <w:i/>
            <w:iCs/>
            <w:color w:val="000000"/>
          </w:rPr>
          <w:t>Struktura operativnih prihoda trgovačkog društva th d.o.o.</w:t>
        </w:r>
        <w:r>
          <w:rPr>
            <w:color w:val="000000"/>
          </w:rPr>
          <w:tab/>
          <w:t>8</w:t>
        </w:r>
      </w:hyperlink>
    </w:p>
    <w:p w14:paraId="746E1DC7" w14:textId="77777777" w:rsidR="00D11D63" w:rsidRDefault="00D11D63">
      <w:pPr>
        <w:pStyle w:val="Tablicaslika"/>
        <w:tabs>
          <w:tab w:val="right" w:leader="dot" w:pos="9016"/>
        </w:tabs>
      </w:pPr>
      <w:hyperlink w:anchor="_Toc90294337" w:history="1">
        <w:r>
          <w:rPr>
            <w:rStyle w:val="Hiperveza"/>
            <w:color w:val="000000"/>
          </w:rPr>
          <w:t xml:space="preserve">Slika IV </w:t>
        </w:r>
        <w:r>
          <w:rPr>
            <w:rStyle w:val="Hiperveza"/>
            <w:i/>
            <w:iCs/>
            <w:color w:val="000000"/>
          </w:rPr>
          <w:t>Učešće troškova i bruto dobiti u ukupnim prihodima trgovačkog društva TH d.o.o.</w:t>
        </w:r>
        <w:r>
          <w:rPr>
            <w:color w:val="000000"/>
          </w:rPr>
          <w:tab/>
          <w:t>17</w:t>
        </w:r>
      </w:hyperlink>
    </w:p>
    <w:p w14:paraId="3F795008" w14:textId="77777777" w:rsidR="00D11D63" w:rsidRDefault="00D11D63">
      <w:pPr>
        <w:pStyle w:val="Opisslike"/>
      </w:pPr>
    </w:p>
    <w:p w14:paraId="2C001CBF" w14:textId="6401F5F0" w:rsidR="00D11D63" w:rsidRDefault="00D11D63">
      <w:pPr>
        <w:pStyle w:val="Tablicaslika"/>
        <w:tabs>
          <w:tab w:val="right" w:leader="dot" w:pos="9016"/>
        </w:tabs>
      </w:pPr>
      <w:hyperlink w:anchor="_Toc90294216" w:history="1">
        <w:r>
          <w:rPr>
            <w:rStyle w:val="Hiperveza"/>
            <w:color w:val="000000"/>
          </w:rPr>
          <w:t xml:space="preserve">Tablica I </w:t>
        </w:r>
        <w:r>
          <w:rPr>
            <w:rStyle w:val="Hiperveza"/>
            <w:i/>
            <w:iCs/>
            <w:color w:val="000000"/>
          </w:rPr>
          <w:t>plan prihoda za 202</w:t>
        </w:r>
        <w:r w:rsidR="00D70DDA">
          <w:rPr>
            <w:rStyle w:val="Hiperveza"/>
            <w:i/>
            <w:iCs/>
            <w:color w:val="000000"/>
          </w:rPr>
          <w:t>6</w:t>
        </w:r>
        <w:r>
          <w:rPr>
            <w:rStyle w:val="Hiperveza"/>
            <w:i/>
            <w:iCs/>
            <w:color w:val="000000"/>
          </w:rPr>
          <w:t>.g.</w:t>
        </w:r>
        <w:r>
          <w:rPr>
            <w:color w:val="000000"/>
          </w:rPr>
          <w:tab/>
          <w:t>6</w:t>
        </w:r>
      </w:hyperlink>
    </w:p>
    <w:p w14:paraId="1B5B9D10" w14:textId="0F4F8213" w:rsidR="00D11D63" w:rsidRDefault="00D11D63">
      <w:pPr>
        <w:pStyle w:val="Tablicaslika"/>
        <w:tabs>
          <w:tab w:val="right" w:leader="dot" w:pos="9016"/>
        </w:tabs>
      </w:pPr>
      <w:hyperlink w:anchor="_Toc90294217" w:history="1">
        <w:r>
          <w:rPr>
            <w:rStyle w:val="Hiperveza"/>
            <w:color w:val="000000"/>
          </w:rPr>
          <w:t xml:space="preserve">Tablica II </w:t>
        </w:r>
        <w:r>
          <w:rPr>
            <w:rStyle w:val="Hiperveza"/>
            <w:i/>
            <w:iCs/>
            <w:color w:val="000000"/>
          </w:rPr>
          <w:t xml:space="preserve">plan strukture </w:t>
        </w:r>
        <w:r w:rsidR="00FF720C">
          <w:rPr>
            <w:rStyle w:val="Hiperveza"/>
            <w:i/>
            <w:iCs/>
            <w:color w:val="000000"/>
          </w:rPr>
          <w:t xml:space="preserve">prihoda od prodaje </w:t>
        </w:r>
        <w:r>
          <w:rPr>
            <w:rStyle w:val="Hiperveza"/>
            <w:i/>
            <w:iCs/>
            <w:color w:val="000000"/>
          </w:rPr>
          <w:t xml:space="preserve"> za 202</w:t>
        </w:r>
        <w:r w:rsidR="00D70DDA">
          <w:rPr>
            <w:rStyle w:val="Hiperveza"/>
            <w:i/>
            <w:iCs/>
            <w:color w:val="000000"/>
          </w:rPr>
          <w:t>6</w:t>
        </w:r>
        <w:r>
          <w:rPr>
            <w:rStyle w:val="Hiperveza"/>
            <w:i/>
            <w:iCs/>
            <w:color w:val="000000"/>
          </w:rPr>
          <w:t>.g.</w:t>
        </w:r>
        <w:r>
          <w:rPr>
            <w:color w:val="000000"/>
          </w:rPr>
          <w:tab/>
        </w:r>
      </w:hyperlink>
      <w:r>
        <w:rPr>
          <w:color w:val="000000"/>
        </w:rPr>
        <w:t>8</w:t>
      </w:r>
    </w:p>
    <w:p w14:paraId="24A521D7" w14:textId="6B3E5117" w:rsidR="00D11D63" w:rsidRDefault="00D11D63">
      <w:pPr>
        <w:pStyle w:val="Tablicaslika"/>
        <w:tabs>
          <w:tab w:val="right" w:leader="dot" w:pos="9016"/>
        </w:tabs>
      </w:pPr>
      <w:hyperlink w:anchor="_Toc90294217" w:history="1">
        <w:r>
          <w:rPr>
            <w:rStyle w:val="Hiperveza"/>
            <w:color w:val="000000"/>
          </w:rPr>
          <w:t xml:space="preserve">Tablica III </w:t>
        </w:r>
        <w:r>
          <w:rPr>
            <w:rStyle w:val="Hiperveza"/>
            <w:i/>
            <w:iCs/>
            <w:color w:val="000000"/>
          </w:rPr>
          <w:t>plan strukture izvanrednih  prihoda za 202</w:t>
        </w:r>
        <w:r w:rsidR="00D70DDA">
          <w:rPr>
            <w:rStyle w:val="Hiperveza"/>
            <w:i/>
            <w:iCs/>
            <w:color w:val="000000"/>
          </w:rPr>
          <w:t>6</w:t>
        </w:r>
        <w:r>
          <w:rPr>
            <w:rStyle w:val="Hiperveza"/>
            <w:i/>
            <w:iCs/>
            <w:color w:val="000000"/>
          </w:rPr>
          <w:t>.g.</w:t>
        </w:r>
        <w:r>
          <w:rPr>
            <w:color w:val="000000"/>
          </w:rPr>
          <w:tab/>
        </w:r>
      </w:hyperlink>
      <w:r>
        <w:rPr>
          <w:color w:val="000000"/>
        </w:rPr>
        <w:t>9</w:t>
      </w:r>
    </w:p>
    <w:p w14:paraId="6E100354" w14:textId="00B573B6" w:rsidR="00D11D63" w:rsidRDefault="00137FED">
      <w:pPr>
        <w:rPr>
          <w:color w:val="000000"/>
        </w:rPr>
      </w:pPr>
      <w:r>
        <w:rPr>
          <w:color w:val="000000"/>
        </w:rPr>
        <w:t>Tablica IV plan strukture prihoda Programa Grad za 202</w:t>
      </w:r>
      <w:r w:rsidR="00D70DDA">
        <w:rPr>
          <w:color w:val="000000"/>
        </w:rPr>
        <w:t>6.g</w:t>
      </w:r>
      <w:r>
        <w:rPr>
          <w:color w:val="000000"/>
        </w:rPr>
        <w:t>……………………………………………………………………       ..10</w:t>
      </w:r>
    </w:p>
    <w:p w14:paraId="775C9FA1" w14:textId="3E9594D5" w:rsidR="00D11D63" w:rsidRDefault="00137FED">
      <w:pPr>
        <w:rPr>
          <w:color w:val="000000"/>
        </w:rPr>
      </w:pPr>
      <w:r>
        <w:rPr>
          <w:color w:val="000000"/>
        </w:rPr>
        <w:t>Tablica V plan strukture ukupnih prihoda z</w:t>
      </w:r>
      <w:r w:rsidR="00DD32C5">
        <w:rPr>
          <w:color w:val="000000"/>
        </w:rPr>
        <w:t xml:space="preserve">a </w:t>
      </w:r>
      <w:r>
        <w:rPr>
          <w:color w:val="000000"/>
        </w:rPr>
        <w:t>202</w:t>
      </w:r>
      <w:r w:rsidR="00DD32C5">
        <w:rPr>
          <w:color w:val="000000"/>
        </w:rPr>
        <w:t>6.g</w:t>
      </w:r>
      <w:r>
        <w:rPr>
          <w:color w:val="000000"/>
        </w:rPr>
        <w:t>………………………………………………………………………………………….11</w:t>
      </w:r>
    </w:p>
    <w:p w14:paraId="3764D5E8" w14:textId="43797920" w:rsidR="00D11D63" w:rsidRDefault="00D11D63">
      <w:pPr>
        <w:pStyle w:val="Tablicaslika"/>
        <w:tabs>
          <w:tab w:val="right" w:leader="dot" w:pos="9016"/>
        </w:tabs>
      </w:pPr>
      <w:hyperlink w:anchor="_Toc90294217" w:history="1">
        <w:r>
          <w:rPr>
            <w:rStyle w:val="Hiperveza"/>
            <w:color w:val="000000"/>
          </w:rPr>
          <w:t>Tablica V plan strukture rashoda</w:t>
        </w:r>
        <w:r>
          <w:rPr>
            <w:rStyle w:val="Hiperveza"/>
            <w:i/>
            <w:iCs/>
            <w:color w:val="000000"/>
          </w:rPr>
          <w:t xml:space="preserve"> za 202</w:t>
        </w:r>
        <w:r w:rsidR="00DD32C5">
          <w:rPr>
            <w:rStyle w:val="Hiperveza"/>
            <w:i/>
            <w:iCs/>
            <w:color w:val="000000"/>
          </w:rPr>
          <w:t>6</w:t>
        </w:r>
        <w:r>
          <w:rPr>
            <w:rStyle w:val="Hiperveza"/>
            <w:i/>
            <w:iCs/>
            <w:color w:val="000000"/>
          </w:rPr>
          <w:t>.g.</w:t>
        </w:r>
        <w:r>
          <w:rPr>
            <w:color w:val="000000"/>
          </w:rPr>
          <w:tab/>
        </w:r>
      </w:hyperlink>
      <w:r>
        <w:rPr>
          <w:color w:val="000000"/>
        </w:rPr>
        <w:t>8</w:t>
      </w:r>
    </w:p>
    <w:p w14:paraId="326EE6D8" w14:textId="00D9E077" w:rsidR="00D11D63" w:rsidRDefault="00D11D63">
      <w:pPr>
        <w:pStyle w:val="Tablicaslika"/>
        <w:tabs>
          <w:tab w:val="right" w:leader="dot" w:pos="9016"/>
        </w:tabs>
      </w:pPr>
      <w:hyperlink w:anchor="_Toc90294217" w:history="1">
        <w:r>
          <w:rPr>
            <w:rStyle w:val="Hiperveza"/>
            <w:color w:val="000000"/>
          </w:rPr>
          <w:t xml:space="preserve">Tablica VI </w:t>
        </w:r>
        <w:r>
          <w:rPr>
            <w:rStyle w:val="Hiperveza"/>
            <w:i/>
            <w:iCs/>
            <w:color w:val="000000"/>
          </w:rPr>
          <w:t>plan strukture mateijalnih troškova za 202</w:t>
        </w:r>
        <w:r w:rsidR="00DD32C5">
          <w:rPr>
            <w:rStyle w:val="Hiperveza"/>
            <w:i/>
            <w:iCs/>
            <w:color w:val="000000"/>
          </w:rPr>
          <w:t>6</w:t>
        </w:r>
        <w:r>
          <w:rPr>
            <w:rStyle w:val="Hiperveza"/>
            <w:i/>
            <w:iCs/>
            <w:color w:val="000000"/>
          </w:rPr>
          <w:t>.g.</w:t>
        </w:r>
        <w:r>
          <w:rPr>
            <w:color w:val="000000"/>
          </w:rPr>
          <w:tab/>
        </w:r>
      </w:hyperlink>
      <w:r>
        <w:rPr>
          <w:color w:val="000000"/>
        </w:rPr>
        <w:t>12</w:t>
      </w:r>
    </w:p>
    <w:p w14:paraId="639AC3D5" w14:textId="21116E40" w:rsidR="00D11D63" w:rsidRDefault="00D11D63">
      <w:pPr>
        <w:pStyle w:val="Tablicaslika"/>
        <w:tabs>
          <w:tab w:val="right" w:leader="dot" w:pos="9016"/>
        </w:tabs>
      </w:pPr>
      <w:hyperlink w:anchor="_Toc90294217" w:history="1">
        <w:r>
          <w:rPr>
            <w:rStyle w:val="Hiperveza"/>
            <w:color w:val="000000"/>
          </w:rPr>
          <w:t xml:space="preserve">Tablica VII </w:t>
        </w:r>
        <w:r>
          <w:rPr>
            <w:rStyle w:val="Hiperveza"/>
            <w:i/>
            <w:iCs/>
            <w:color w:val="000000"/>
          </w:rPr>
          <w:t>plan strukture troškvoa usluga I za 202</w:t>
        </w:r>
        <w:r w:rsidR="00DD32C5">
          <w:rPr>
            <w:rStyle w:val="Hiperveza"/>
            <w:i/>
            <w:iCs/>
            <w:color w:val="000000"/>
          </w:rPr>
          <w:t>6</w:t>
        </w:r>
        <w:r>
          <w:rPr>
            <w:rStyle w:val="Hiperveza"/>
            <w:i/>
            <w:iCs/>
            <w:color w:val="000000"/>
          </w:rPr>
          <w:t>.g.</w:t>
        </w:r>
        <w:r>
          <w:rPr>
            <w:color w:val="000000"/>
          </w:rPr>
          <w:tab/>
        </w:r>
      </w:hyperlink>
      <w:r>
        <w:rPr>
          <w:color w:val="000000"/>
        </w:rPr>
        <w:t>13</w:t>
      </w:r>
    </w:p>
    <w:p w14:paraId="4357BAA4" w14:textId="5C7E7095" w:rsidR="00D11D63" w:rsidRDefault="00D11D63">
      <w:pPr>
        <w:pStyle w:val="Tablicaslika"/>
        <w:tabs>
          <w:tab w:val="right" w:leader="dot" w:pos="9016"/>
        </w:tabs>
      </w:pPr>
      <w:hyperlink w:anchor="_Toc90294217" w:history="1">
        <w:r>
          <w:rPr>
            <w:rStyle w:val="Hiperveza"/>
            <w:color w:val="000000"/>
          </w:rPr>
          <w:t xml:space="preserve">Tablica VIII plan strukture troškova usluga II </w:t>
        </w:r>
        <w:r>
          <w:rPr>
            <w:rStyle w:val="Hiperveza"/>
            <w:i/>
            <w:iCs/>
            <w:color w:val="000000"/>
          </w:rPr>
          <w:t>za 202</w:t>
        </w:r>
        <w:r w:rsidR="00DD32C5">
          <w:rPr>
            <w:rStyle w:val="Hiperveza"/>
            <w:i/>
            <w:iCs/>
            <w:color w:val="000000"/>
          </w:rPr>
          <w:t>6</w:t>
        </w:r>
        <w:r>
          <w:rPr>
            <w:rStyle w:val="Hiperveza"/>
            <w:i/>
            <w:iCs/>
            <w:color w:val="000000"/>
          </w:rPr>
          <w:t>.g.</w:t>
        </w:r>
        <w:r>
          <w:rPr>
            <w:color w:val="000000"/>
          </w:rPr>
          <w:tab/>
        </w:r>
      </w:hyperlink>
      <w:r>
        <w:rPr>
          <w:color w:val="000000"/>
        </w:rPr>
        <w:t>1</w:t>
      </w:r>
      <w:r w:rsidR="00FF720C">
        <w:rPr>
          <w:color w:val="000000"/>
        </w:rPr>
        <w:t>4</w:t>
      </w:r>
    </w:p>
    <w:p w14:paraId="179FED83" w14:textId="10F92BF1" w:rsidR="00D11D63" w:rsidRDefault="00D11D63">
      <w:pPr>
        <w:pStyle w:val="Tablicaslika"/>
        <w:tabs>
          <w:tab w:val="right" w:leader="dot" w:pos="9016"/>
        </w:tabs>
      </w:pPr>
      <w:hyperlink w:anchor="_Toc90294217" w:history="1">
        <w:r>
          <w:rPr>
            <w:rStyle w:val="Hiperveza"/>
            <w:color w:val="000000"/>
          </w:rPr>
          <w:t xml:space="preserve">Tablica IX plan troškova amortizacije </w:t>
        </w:r>
        <w:r>
          <w:rPr>
            <w:rStyle w:val="Hiperveza"/>
            <w:i/>
            <w:iCs/>
            <w:color w:val="000000"/>
          </w:rPr>
          <w:t>za 202</w:t>
        </w:r>
        <w:r w:rsidR="00DD32C5">
          <w:rPr>
            <w:rStyle w:val="Hiperveza"/>
            <w:i/>
            <w:iCs/>
            <w:color w:val="000000"/>
          </w:rPr>
          <w:t>6</w:t>
        </w:r>
        <w:r>
          <w:rPr>
            <w:rStyle w:val="Hiperveza"/>
            <w:i/>
            <w:iCs/>
            <w:color w:val="000000"/>
          </w:rPr>
          <w:t>.g.</w:t>
        </w:r>
        <w:r>
          <w:rPr>
            <w:color w:val="000000"/>
          </w:rPr>
          <w:tab/>
        </w:r>
      </w:hyperlink>
      <w:r>
        <w:rPr>
          <w:color w:val="000000"/>
        </w:rPr>
        <w:t>1</w:t>
      </w:r>
      <w:r w:rsidR="00FF720C">
        <w:rPr>
          <w:color w:val="000000"/>
        </w:rPr>
        <w:t>4</w:t>
      </w:r>
    </w:p>
    <w:p w14:paraId="6D677C73" w14:textId="534154C6" w:rsidR="00D11D63" w:rsidRDefault="00D11D63">
      <w:pPr>
        <w:pStyle w:val="Tablicaslika"/>
        <w:tabs>
          <w:tab w:val="right" w:leader="dot" w:pos="9016"/>
        </w:tabs>
      </w:pPr>
      <w:hyperlink w:anchor="_Toc90294217" w:history="1">
        <w:r>
          <w:rPr>
            <w:rStyle w:val="Hiperveza"/>
            <w:color w:val="000000"/>
          </w:rPr>
          <w:t xml:space="preserve">Tablica X  plan troškova naknada radnicima </w:t>
        </w:r>
        <w:r>
          <w:rPr>
            <w:rStyle w:val="Hiperveza"/>
            <w:i/>
            <w:iCs/>
            <w:color w:val="000000"/>
          </w:rPr>
          <w:t>za 20</w:t>
        </w:r>
        <w:r w:rsidR="0029592A">
          <w:rPr>
            <w:rStyle w:val="Hiperveza"/>
            <w:i/>
            <w:iCs/>
            <w:color w:val="000000"/>
          </w:rPr>
          <w:t>2</w:t>
        </w:r>
        <w:r w:rsidR="00DD32C5">
          <w:rPr>
            <w:rStyle w:val="Hiperveza"/>
            <w:i/>
            <w:iCs/>
            <w:color w:val="000000"/>
          </w:rPr>
          <w:t>6</w:t>
        </w:r>
        <w:r>
          <w:rPr>
            <w:rStyle w:val="Hiperveza"/>
            <w:i/>
            <w:iCs/>
            <w:color w:val="000000"/>
          </w:rPr>
          <w:t>.g.</w:t>
        </w:r>
        <w:r>
          <w:rPr>
            <w:color w:val="000000"/>
          </w:rPr>
          <w:tab/>
        </w:r>
      </w:hyperlink>
      <w:r>
        <w:rPr>
          <w:color w:val="000000"/>
        </w:rPr>
        <w:t>1</w:t>
      </w:r>
      <w:r w:rsidR="00FF720C">
        <w:rPr>
          <w:color w:val="000000"/>
        </w:rPr>
        <w:t>5</w:t>
      </w:r>
    </w:p>
    <w:p w14:paraId="361E3B05" w14:textId="1EF50E89" w:rsidR="00D11D63" w:rsidRDefault="00D11D63">
      <w:pPr>
        <w:pStyle w:val="Tablicaslika"/>
        <w:tabs>
          <w:tab w:val="right" w:leader="dot" w:pos="9016"/>
        </w:tabs>
      </w:pPr>
      <w:hyperlink w:anchor="_Toc90294217" w:history="1">
        <w:r>
          <w:rPr>
            <w:rStyle w:val="Hiperveza"/>
            <w:color w:val="000000"/>
          </w:rPr>
          <w:t xml:space="preserve">Tablica XI  plan troškova plaća </w:t>
        </w:r>
        <w:r>
          <w:rPr>
            <w:rStyle w:val="Hiperveza"/>
            <w:i/>
            <w:iCs/>
            <w:color w:val="000000"/>
          </w:rPr>
          <w:t>za 202</w:t>
        </w:r>
        <w:r w:rsidR="00DD32C5">
          <w:rPr>
            <w:rStyle w:val="Hiperveza"/>
            <w:i/>
            <w:iCs/>
            <w:color w:val="000000"/>
          </w:rPr>
          <w:t>6</w:t>
        </w:r>
        <w:r>
          <w:rPr>
            <w:rStyle w:val="Hiperveza"/>
            <w:i/>
            <w:iCs/>
            <w:color w:val="000000"/>
          </w:rPr>
          <w:t>.g.</w:t>
        </w:r>
        <w:r>
          <w:rPr>
            <w:color w:val="000000"/>
          </w:rPr>
          <w:tab/>
        </w:r>
      </w:hyperlink>
      <w:r>
        <w:rPr>
          <w:color w:val="000000"/>
        </w:rPr>
        <w:t>1</w:t>
      </w:r>
      <w:r w:rsidR="00FF720C">
        <w:rPr>
          <w:color w:val="000000"/>
        </w:rPr>
        <w:t>5</w:t>
      </w:r>
    </w:p>
    <w:p w14:paraId="40CAF061" w14:textId="1814CF83" w:rsidR="00D11D63" w:rsidRDefault="00D11D63">
      <w:pPr>
        <w:pStyle w:val="Tablicaslika"/>
        <w:tabs>
          <w:tab w:val="right" w:leader="dot" w:pos="9016"/>
        </w:tabs>
      </w:pPr>
      <w:hyperlink w:anchor="_Toc90294217" w:history="1">
        <w:r>
          <w:rPr>
            <w:rStyle w:val="Hiperveza"/>
            <w:color w:val="000000"/>
          </w:rPr>
          <w:t xml:space="preserve">Tablica XII  račun dobiti/gubitka </w:t>
        </w:r>
        <w:r>
          <w:rPr>
            <w:rStyle w:val="Hiperveza"/>
            <w:i/>
            <w:iCs/>
            <w:color w:val="000000"/>
          </w:rPr>
          <w:t>za 202</w:t>
        </w:r>
        <w:r w:rsidR="00DD32C5">
          <w:rPr>
            <w:rStyle w:val="Hiperveza"/>
            <w:i/>
            <w:iCs/>
            <w:color w:val="000000"/>
          </w:rPr>
          <w:t>6</w:t>
        </w:r>
        <w:r>
          <w:rPr>
            <w:rStyle w:val="Hiperveza"/>
            <w:i/>
            <w:iCs/>
            <w:color w:val="000000"/>
          </w:rPr>
          <w:t>.g.</w:t>
        </w:r>
        <w:r>
          <w:rPr>
            <w:color w:val="000000"/>
          </w:rPr>
          <w:tab/>
        </w:r>
      </w:hyperlink>
      <w:r>
        <w:rPr>
          <w:color w:val="000000"/>
        </w:rPr>
        <w:t>1</w:t>
      </w:r>
      <w:r w:rsidR="00FF720C">
        <w:rPr>
          <w:color w:val="000000"/>
        </w:rPr>
        <w:t>6</w:t>
      </w:r>
    </w:p>
    <w:p w14:paraId="4474909B" w14:textId="77777777" w:rsidR="00D11D63" w:rsidRDefault="00D11D63">
      <w:pPr>
        <w:rPr>
          <w:color w:val="000000"/>
        </w:rPr>
      </w:pPr>
    </w:p>
    <w:p w14:paraId="46DC5C35" w14:textId="77777777" w:rsidR="00D11D63" w:rsidRDefault="00D11D63">
      <w:pPr>
        <w:pStyle w:val="Tablicaslika"/>
        <w:tabs>
          <w:tab w:val="right" w:leader="dot" w:pos="9016"/>
        </w:tabs>
        <w:rPr>
          <w:color w:val="000000"/>
          <w:sz w:val="22"/>
          <w:szCs w:val="22"/>
          <w:lang w:eastAsia="hr-HR"/>
        </w:rPr>
      </w:pPr>
    </w:p>
    <w:p w14:paraId="0ECA2530" w14:textId="77777777" w:rsidR="00D11D63" w:rsidRDefault="00137FED">
      <w:pPr>
        <w:pStyle w:val="Opisslike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sectPr w:rsidR="00D11D63">
      <w:headerReference w:type="default" r:id="rId13"/>
      <w:footerReference w:type="default" r:id="rId14"/>
      <w:footnotePr>
        <w:pos w:val="beneathText"/>
        <w:numFmt w:val="lowerLetter"/>
      </w:footnotePr>
      <w:pgSz w:w="11906" w:h="16838"/>
      <w:pgMar w:top="1440" w:right="1440" w:bottom="1440" w:left="1440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0DFB" w14:textId="77777777" w:rsidR="00F06354" w:rsidRDefault="00F06354">
      <w:pPr>
        <w:spacing w:after="0" w:line="240" w:lineRule="auto"/>
      </w:pPr>
      <w:r>
        <w:separator/>
      </w:r>
    </w:p>
  </w:endnote>
  <w:endnote w:type="continuationSeparator" w:id="0">
    <w:p w14:paraId="467DD4F8" w14:textId="77777777" w:rsidR="00F06354" w:rsidRDefault="00F0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04B5" w14:textId="77777777" w:rsidR="00AD44E8" w:rsidRDefault="00137FED">
    <w:pPr>
      <w:pStyle w:val="Podnoje"/>
      <w:tabs>
        <w:tab w:val="left" w:pos="3775"/>
        <w:tab w:val="center" w:pos="4513"/>
      </w:tabs>
      <w:rPr>
        <w:rFonts w:ascii="Calibri Light" w:hAnsi="Calibri Light" w:cs="Times New Roman"/>
      </w:rPr>
    </w:pPr>
    <w:r>
      <w:rPr>
        <w:rFonts w:ascii="Calibri Light" w:hAnsi="Calibri Light" w:cs="Times New Roman"/>
      </w:rPr>
      <w:tab/>
    </w:r>
  </w:p>
  <w:p w14:paraId="1AC28D37" w14:textId="77777777" w:rsidR="00AD44E8" w:rsidRDefault="00137FED">
    <w:pPr>
      <w:pStyle w:val="Podnoje"/>
      <w:tabs>
        <w:tab w:val="left" w:pos="3775"/>
        <w:tab w:val="center" w:pos="4513"/>
      </w:tabs>
    </w:pPr>
    <w:r>
      <w:rPr>
        <w:rFonts w:ascii="Calibri Light" w:hAnsi="Calibri Light" w:cs="Times New Roman"/>
        <w:noProof/>
      </w:rPr>
      <mc:AlternateContent>
        <mc:Choice Requires="wps">
          <w:drawing>
            <wp:inline distT="0" distB="0" distL="0" distR="0" wp14:anchorId="5F4AF582" wp14:editId="59B9553D">
              <wp:extent cx="0" cy="18416"/>
              <wp:effectExtent l="0" t="0" r="38100" b="19684"/>
              <wp:docPr id="578367764" name="Horizontal 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18416"/>
                      </a:xfrm>
                      <a:prstGeom prst="rect">
                        <a:avLst/>
                      </a:prstGeom>
                      <a:noFill/>
                      <a:ln w="9528" cap="flat">
                        <a:solidFill>
                          <a:srgbClr val="A0A0A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inline>
          </w:drawing>
        </mc:Choice>
        <mc:Fallback>
          <w:pict>
            <v:rect w14:anchorId="27436481" id="Horizontal Line 1" o:spid="_x0000_s1026" style="width:0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" filled="f" strokecolor="#a0a0a0" strokeweight=".26467mm">
              <v:textbox inset="0,0,0,0"/>
              <w10:anchorlock/>
            </v:rect>
          </w:pict>
        </mc:Fallback>
      </mc:AlternateContent>
    </w:r>
  </w:p>
  <w:p w14:paraId="34B03B51" w14:textId="77777777" w:rsidR="00AD44E8" w:rsidRDefault="00137FED">
    <w:pPr>
      <w:pStyle w:val="Podnoje"/>
      <w:tabs>
        <w:tab w:val="left" w:pos="3775"/>
        <w:tab w:val="center" w:pos="4513"/>
      </w:tabs>
    </w:pPr>
    <w:r>
      <w:rPr>
        <w:rFonts w:ascii="Calibri Light" w:hAnsi="Calibri Light" w:cs="Times New Roman"/>
        <w:b/>
        <w:bCs/>
      </w:rPr>
      <w:tab/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7FD45" wp14:editId="6B8C206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3" cy="9528176"/>
              <wp:effectExtent l="0" t="0" r="26667" b="15874"/>
              <wp:wrapNone/>
              <wp:docPr id="612160619" name="Pravokut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3" cy="9528176"/>
                      </a:xfrm>
                      <a:prstGeom prst="rect">
                        <a:avLst/>
                      </a:prstGeom>
                      <a:noFill/>
                      <a:ln w="15873" cap="flat">
                        <a:solidFill>
                          <a:srgbClr val="767171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9B3E8E3" id="Pravokutnik 452" o:spid="_x0000_s1026" style="position:absolute;margin-left:0;margin-top:0;width:579.9pt;height:750.25pt;z-index:251659264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" filled="f" strokecolor="#767171" strokeweight=".44092mm">
              <v:textbox inset="0,0,0,0"/>
              <w10:wrap anchorx="page" anchory="page"/>
            </v:rect>
          </w:pict>
        </mc:Fallback>
      </mc:AlternateContent>
    </w:r>
    <w:r>
      <w:rPr>
        <w:rFonts w:ascii="Calibri Light" w:hAnsi="Calibri Light" w:cs="Times New Roman"/>
        <w:b/>
        <w:bCs/>
      </w:rPr>
      <w:t xml:space="preserve">str. </w:t>
    </w:r>
    <w:r>
      <w:rPr>
        <w:rFonts w:ascii="Calibri Light" w:hAnsi="Calibri Light" w:cs="Times New Roman"/>
        <w:b/>
        <w:bCs/>
      </w:rPr>
      <w:fldChar w:fldCharType="begin"/>
    </w:r>
    <w:r>
      <w:rPr>
        <w:rFonts w:ascii="Calibri Light" w:hAnsi="Calibri Light" w:cs="Times New Roman"/>
        <w:b/>
        <w:bCs/>
      </w:rPr>
      <w:instrText xml:space="preserve"> PAGE </w:instrText>
    </w:r>
    <w:r>
      <w:rPr>
        <w:rFonts w:ascii="Calibri Light" w:hAnsi="Calibri Light" w:cs="Times New Roman"/>
        <w:b/>
        <w:bCs/>
      </w:rPr>
      <w:fldChar w:fldCharType="separate"/>
    </w:r>
    <w:r>
      <w:rPr>
        <w:rFonts w:ascii="Calibri Light" w:hAnsi="Calibri Light" w:cs="Times New Roman"/>
        <w:b/>
        <w:bCs/>
      </w:rPr>
      <w:t>2</w:t>
    </w:r>
    <w:r>
      <w:rPr>
        <w:rFonts w:ascii="Calibri Light" w:hAnsi="Calibri Light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881C" w14:textId="77777777" w:rsidR="00F06354" w:rsidRDefault="00F0635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06B052" w14:textId="77777777" w:rsidR="00F06354" w:rsidRDefault="00F0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72B" w14:textId="77777777" w:rsidR="00AD44E8" w:rsidRDefault="00137FED">
    <w:pPr>
      <w:pStyle w:val="Zaglavlje"/>
      <w:pBdr>
        <w:bottom w:val="single" w:sz="4" w:space="1" w:color="000000"/>
      </w:pBdr>
      <w:jc w:val="center"/>
    </w:pPr>
    <w:r>
      <w:t>TROGIR HOLDING D.O.O.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370D"/>
    <w:multiLevelType w:val="multilevel"/>
    <w:tmpl w:val="4FF01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643C3"/>
    <w:multiLevelType w:val="multilevel"/>
    <w:tmpl w:val="85EA01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AE5328"/>
    <w:multiLevelType w:val="multilevel"/>
    <w:tmpl w:val="FC48103A"/>
    <w:styleLink w:val="LFO6"/>
    <w:lvl w:ilvl="0">
      <w:start w:val="1"/>
      <w:numFmt w:val="decimal"/>
      <w:pStyle w:val="Brojevi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0B417199"/>
    <w:multiLevelType w:val="multilevel"/>
    <w:tmpl w:val="92DA30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9112AC"/>
    <w:multiLevelType w:val="multilevel"/>
    <w:tmpl w:val="25FC9404"/>
    <w:styleLink w:val="1ai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5" w15:restartNumberingAfterBreak="0">
    <w:nsid w:val="16C542CB"/>
    <w:multiLevelType w:val="multilevel"/>
    <w:tmpl w:val="6B88E2D4"/>
    <w:styleLink w:val="LFO2"/>
    <w:lvl w:ilvl="0">
      <w:numFmt w:val="bullet"/>
      <w:pStyle w:val="Grafikeoznake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1CA475E0"/>
    <w:multiLevelType w:val="multilevel"/>
    <w:tmpl w:val="A97ED534"/>
    <w:styleLink w:val="LFO8"/>
    <w:lvl w:ilvl="0">
      <w:start w:val="1"/>
      <w:numFmt w:val="decimal"/>
      <w:pStyle w:val="Brojevi3"/>
      <w:lvlText w:val="%1.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1E2A6FA2"/>
    <w:multiLevelType w:val="multilevel"/>
    <w:tmpl w:val="E542A410"/>
    <w:styleLink w:val="LFO10"/>
    <w:lvl w:ilvl="0">
      <w:start w:val="1"/>
      <w:numFmt w:val="decimal"/>
      <w:pStyle w:val="Brojevi5"/>
      <w:lvlText w:val="%1."/>
      <w:lvlJc w:val="left"/>
      <w:pPr>
        <w:ind w:left="180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1F0119D5"/>
    <w:multiLevelType w:val="multilevel"/>
    <w:tmpl w:val="76B21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674FB4"/>
    <w:multiLevelType w:val="multilevel"/>
    <w:tmpl w:val="C6B466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972A6B"/>
    <w:multiLevelType w:val="multilevel"/>
    <w:tmpl w:val="08368126"/>
    <w:styleLink w:val="1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880AE0"/>
    <w:multiLevelType w:val="multilevel"/>
    <w:tmpl w:val="B55408AC"/>
    <w:styleLink w:val="lanaksekcija1"/>
    <w:lvl w:ilvl="0">
      <w:start w:val="1"/>
      <w:numFmt w:val="upperRoman"/>
      <w:lvlText w:val="文章 %1."/>
      <w:lvlJc w:val="left"/>
      <w:rPr>
        <w:rFonts w:ascii="Times New Roman" w:hAnsi="Times New Roman" w:cs="Times New Roman"/>
      </w:rPr>
    </w:lvl>
    <w:lvl w:ilvl="1">
      <w:start w:val="1"/>
      <w:numFmt w:val="decimalZero"/>
      <w:lvlText w:val="第 %1.%2 节"/>
      <w:lvlJc w:val="left"/>
    </w:lvl>
    <w:lvl w:ilvl="2">
      <w:start w:val="1"/>
      <w:numFmt w:val="lowerLetter"/>
      <w:lvlText w:val="()"/>
      <w:lvlJc w:val="left"/>
      <w:pPr>
        <w:ind w:left="720" w:hanging="432"/>
      </w:pPr>
    </w:lvl>
    <w:lvl w:ilvl="3">
      <w:start w:val="1"/>
      <w:numFmt w:val="lowerRoman"/>
      <w:lvlText w:val="()"/>
      <w:lvlJc w:val="right"/>
      <w:pPr>
        <w:ind w:left="864" w:hanging="144"/>
      </w:pPr>
    </w:lvl>
    <w:lvl w:ilvl="4">
      <w:start w:val="1"/>
      <w:numFmt w:val="decimal"/>
      <w:lvlText w:val=")"/>
      <w:lvlJc w:val="left"/>
      <w:pPr>
        <w:ind w:left="1008" w:hanging="432"/>
      </w:pPr>
    </w:lvl>
    <w:lvl w:ilvl="5">
      <w:start w:val="1"/>
      <w:numFmt w:val="lowerLetter"/>
      <w:lvlText w:val=")"/>
      <w:lvlJc w:val="left"/>
      <w:pPr>
        <w:ind w:left="1152" w:hanging="432"/>
      </w:pPr>
    </w:lvl>
    <w:lvl w:ilvl="6">
      <w:start w:val="1"/>
      <w:numFmt w:val="lowerRoman"/>
      <w:lvlText w:val=")"/>
      <w:lvlJc w:val="right"/>
      <w:pPr>
        <w:ind w:left="1296" w:hanging="288"/>
      </w:pPr>
    </w:lvl>
    <w:lvl w:ilvl="7">
      <w:start w:val="1"/>
      <w:numFmt w:val="lowerLetter"/>
      <w:lvlText w:val="."/>
      <w:lvlJc w:val="left"/>
      <w:pPr>
        <w:ind w:left="1440" w:hanging="432"/>
      </w:pPr>
    </w:lvl>
    <w:lvl w:ilvl="8">
      <w:start w:val="1"/>
      <w:numFmt w:val="lowerRoman"/>
      <w:lvlText w:val="."/>
      <w:lvlJc w:val="right"/>
      <w:pPr>
        <w:ind w:left="1584" w:hanging="144"/>
      </w:pPr>
    </w:lvl>
  </w:abstractNum>
  <w:abstractNum w:abstractNumId="12" w15:restartNumberingAfterBreak="0">
    <w:nsid w:val="37D22D13"/>
    <w:multiLevelType w:val="multilevel"/>
    <w:tmpl w:val="B63EE8FA"/>
    <w:lvl w:ilvl="0">
      <w:numFmt w:val="bullet"/>
      <w:lvlText w:val=""/>
      <w:lvlJc w:val="left"/>
      <w:pPr>
        <w:ind w:left="99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56" w:hanging="360"/>
      </w:pPr>
      <w:rPr>
        <w:rFonts w:ascii="Wingdings" w:hAnsi="Wingdings"/>
      </w:rPr>
    </w:lvl>
  </w:abstractNum>
  <w:abstractNum w:abstractNumId="13" w15:restartNumberingAfterBreak="0">
    <w:nsid w:val="38DF0E44"/>
    <w:multiLevelType w:val="multilevel"/>
    <w:tmpl w:val="F9FCE9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92E46CB"/>
    <w:multiLevelType w:val="multilevel"/>
    <w:tmpl w:val="5386D464"/>
    <w:styleLink w:val="LFO4"/>
    <w:lvl w:ilvl="0">
      <w:numFmt w:val="bullet"/>
      <w:pStyle w:val="Grafikeoznake4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 w15:restartNumberingAfterBreak="0">
    <w:nsid w:val="399E1D36"/>
    <w:multiLevelType w:val="multilevel"/>
    <w:tmpl w:val="B1E085DC"/>
    <w:styleLink w:val="LFO9"/>
    <w:lvl w:ilvl="0">
      <w:start w:val="1"/>
      <w:numFmt w:val="decimal"/>
      <w:pStyle w:val="Brojevi4"/>
      <w:lvlText w:val="%1."/>
      <w:lvlJc w:val="left"/>
      <w:pPr>
        <w:ind w:left="14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3D302634"/>
    <w:multiLevelType w:val="hybridMultilevel"/>
    <w:tmpl w:val="5286700A"/>
    <w:lvl w:ilvl="0" w:tplc="1D6AD6D6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F7ADA"/>
    <w:multiLevelType w:val="multilevel"/>
    <w:tmpl w:val="9E06E96A"/>
    <w:styleLink w:val="LFO3"/>
    <w:lvl w:ilvl="0">
      <w:numFmt w:val="bullet"/>
      <w:pStyle w:val="Grafikeoznake3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5E885A2D"/>
    <w:multiLevelType w:val="multilevel"/>
    <w:tmpl w:val="5E9E31C6"/>
    <w:styleLink w:val="LFO7"/>
    <w:lvl w:ilvl="0">
      <w:start w:val="1"/>
      <w:numFmt w:val="decimal"/>
      <w:pStyle w:val="Brojevi2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 w15:restartNumberingAfterBreak="0">
    <w:nsid w:val="623A1E13"/>
    <w:multiLevelType w:val="hybridMultilevel"/>
    <w:tmpl w:val="6D0A7E0A"/>
    <w:lvl w:ilvl="0" w:tplc="B6F0961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66710"/>
    <w:multiLevelType w:val="multilevel"/>
    <w:tmpl w:val="296A0DB2"/>
    <w:styleLink w:val="LFO5"/>
    <w:lvl w:ilvl="0">
      <w:numFmt w:val="bullet"/>
      <w:pStyle w:val="Grafikeoznake5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70525CB8"/>
    <w:multiLevelType w:val="hybridMultilevel"/>
    <w:tmpl w:val="ABF0BF08"/>
    <w:lvl w:ilvl="0" w:tplc="B6F0961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145EA"/>
    <w:multiLevelType w:val="multilevel"/>
    <w:tmpl w:val="C2469E4C"/>
    <w:styleLink w:val="LFO1"/>
    <w:lvl w:ilvl="0">
      <w:numFmt w:val="bullet"/>
      <w:pStyle w:val="Grafikeoznake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3" w15:restartNumberingAfterBreak="0">
    <w:nsid w:val="76C419AB"/>
    <w:multiLevelType w:val="multilevel"/>
    <w:tmpl w:val="C9927F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7BE7AFF"/>
    <w:multiLevelType w:val="multilevel"/>
    <w:tmpl w:val="C73E36AA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84698439">
    <w:abstractNumId w:val="10"/>
  </w:num>
  <w:num w:numId="2" w16cid:durableId="2140954317">
    <w:abstractNumId w:val="4"/>
  </w:num>
  <w:num w:numId="3" w16cid:durableId="124855254">
    <w:abstractNumId w:val="11"/>
  </w:num>
  <w:num w:numId="4" w16cid:durableId="823468317">
    <w:abstractNumId w:val="22"/>
  </w:num>
  <w:num w:numId="5" w16cid:durableId="1097167254">
    <w:abstractNumId w:val="5"/>
  </w:num>
  <w:num w:numId="6" w16cid:durableId="63525971">
    <w:abstractNumId w:val="17"/>
  </w:num>
  <w:num w:numId="7" w16cid:durableId="1421221685">
    <w:abstractNumId w:val="14"/>
  </w:num>
  <w:num w:numId="8" w16cid:durableId="1544056762">
    <w:abstractNumId w:val="20"/>
  </w:num>
  <w:num w:numId="9" w16cid:durableId="2057050288">
    <w:abstractNumId w:val="2"/>
  </w:num>
  <w:num w:numId="10" w16cid:durableId="2035765674">
    <w:abstractNumId w:val="18"/>
  </w:num>
  <w:num w:numId="11" w16cid:durableId="1470173416">
    <w:abstractNumId w:val="6"/>
  </w:num>
  <w:num w:numId="12" w16cid:durableId="1743988461">
    <w:abstractNumId w:val="15"/>
  </w:num>
  <w:num w:numId="13" w16cid:durableId="1404984106">
    <w:abstractNumId w:val="7"/>
  </w:num>
  <w:num w:numId="14" w16cid:durableId="1999190983">
    <w:abstractNumId w:val="9"/>
  </w:num>
  <w:num w:numId="15" w16cid:durableId="1128471784">
    <w:abstractNumId w:val="23"/>
  </w:num>
  <w:num w:numId="16" w16cid:durableId="554002775">
    <w:abstractNumId w:val="12"/>
  </w:num>
  <w:num w:numId="17" w16cid:durableId="1492217053">
    <w:abstractNumId w:val="0"/>
  </w:num>
  <w:num w:numId="18" w16cid:durableId="943071923">
    <w:abstractNumId w:val="8"/>
  </w:num>
  <w:num w:numId="19" w16cid:durableId="1354460962">
    <w:abstractNumId w:val="24"/>
  </w:num>
  <w:num w:numId="20" w16cid:durableId="338393313">
    <w:abstractNumId w:val="13"/>
  </w:num>
  <w:num w:numId="21" w16cid:durableId="379862057">
    <w:abstractNumId w:val="1"/>
  </w:num>
  <w:num w:numId="22" w16cid:durableId="2510780">
    <w:abstractNumId w:val="3"/>
  </w:num>
  <w:num w:numId="23" w16cid:durableId="11535336">
    <w:abstractNumId w:val="16"/>
  </w:num>
  <w:num w:numId="24" w16cid:durableId="946424221">
    <w:abstractNumId w:val="19"/>
  </w:num>
  <w:num w:numId="25" w16cid:durableId="20518762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pos w:val="beneathText"/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63"/>
    <w:rsid w:val="00072E28"/>
    <w:rsid w:val="000D05AE"/>
    <w:rsid w:val="001214B7"/>
    <w:rsid w:val="00137FED"/>
    <w:rsid w:val="00156820"/>
    <w:rsid w:val="00191FB3"/>
    <w:rsid w:val="001F1314"/>
    <w:rsid w:val="001F5379"/>
    <w:rsid w:val="001F6D9C"/>
    <w:rsid w:val="00205F1B"/>
    <w:rsid w:val="00236E16"/>
    <w:rsid w:val="002468FE"/>
    <w:rsid w:val="00273835"/>
    <w:rsid w:val="0029592A"/>
    <w:rsid w:val="002E53AC"/>
    <w:rsid w:val="002E6C73"/>
    <w:rsid w:val="00312D1E"/>
    <w:rsid w:val="00320A1B"/>
    <w:rsid w:val="00321760"/>
    <w:rsid w:val="00331ED0"/>
    <w:rsid w:val="003C1D94"/>
    <w:rsid w:val="003F079E"/>
    <w:rsid w:val="0043287B"/>
    <w:rsid w:val="00434BAB"/>
    <w:rsid w:val="004479D5"/>
    <w:rsid w:val="00474FCF"/>
    <w:rsid w:val="00476F41"/>
    <w:rsid w:val="004E4246"/>
    <w:rsid w:val="0050365A"/>
    <w:rsid w:val="00524F64"/>
    <w:rsid w:val="00564445"/>
    <w:rsid w:val="005703F6"/>
    <w:rsid w:val="00573A83"/>
    <w:rsid w:val="005823AD"/>
    <w:rsid w:val="005857F8"/>
    <w:rsid w:val="00586F3F"/>
    <w:rsid w:val="00590D59"/>
    <w:rsid w:val="005C7912"/>
    <w:rsid w:val="005F1A40"/>
    <w:rsid w:val="00617678"/>
    <w:rsid w:val="006849E3"/>
    <w:rsid w:val="006E3CD0"/>
    <w:rsid w:val="007009A8"/>
    <w:rsid w:val="007133E2"/>
    <w:rsid w:val="00730FB1"/>
    <w:rsid w:val="00753BC0"/>
    <w:rsid w:val="00773398"/>
    <w:rsid w:val="007871D3"/>
    <w:rsid w:val="007F5546"/>
    <w:rsid w:val="008016AB"/>
    <w:rsid w:val="00804262"/>
    <w:rsid w:val="00811B88"/>
    <w:rsid w:val="008607A1"/>
    <w:rsid w:val="0087376B"/>
    <w:rsid w:val="008966FB"/>
    <w:rsid w:val="008A50BB"/>
    <w:rsid w:val="008E1E33"/>
    <w:rsid w:val="008E4639"/>
    <w:rsid w:val="00907838"/>
    <w:rsid w:val="00926106"/>
    <w:rsid w:val="0094638C"/>
    <w:rsid w:val="00946DA1"/>
    <w:rsid w:val="00951980"/>
    <w:rsid w:val="00973312"/>
    <w:rsid w:val="009C3B0E"/>
    <w:rsid w:val="009D66A0"/>
    <w:rsid w:val="009E1FA8"/>
    <w:rsid w:val="00A657C3"/>
    <w:rsid w:val="00A66F28"/>
    <w:rsid w:val="00A766E3"/>
    <w:rsid w:val="00AC6F2B"/>
    <w:rsid w:val="00AD44E8"/>
    <w:rsid w:val="00AF1CE2"/>
    <w:rsid w:val="00B12977"/>
    <w:rsid w:val="00B144DB"/>
    <w:rsid w:val="00B21C31"/>
    <w:rsid w:val="00B3394C"/>
    <w:rsid w:val="00B824D9"/>
    <w:rsid w:val="00B929D3"/>
    <w:rsid w:val="00BD6100"/>
    <w:rsid w:val="00BF11CD"/>
    <w:rsid w:val="00C02DC4"/>
    <w:rsid w:val="00C32640"/>
    <w:rsid w:val="00C4019B"/>
    <w:rsid w:val="00C47134"/>
    <w:rsid w:val="00C50C9E"/>
    <w:rsid w:val="00C73E0C"/>
    <w:rsid w:val="00CC03D1"/>
    <w:rsid w:val="00CD3350"/>
    <w:rsid w:val="00CD44CD"/>
    <w:rsid w:val="00CF11A7"/>
    <w:rsid w:val="00D11D63"/>
    <w:rsid w:val="00D23559"/>
    <w:rsid w:val="00D70DDA"/>
    <w:rsid w:val="00D755BB"/>
    <w:rsid w:val="00D846BE"/>
    <w:rsid w:val="00DA1A1F"/>
    <w:rsid w:val="00DC3AC5"/>
    <w:rsid w:val="00DD072D"/>
    <w:rsid w:val="00DD32C5"/>
    <w:rsid w:val="00DE777C"/>
    <w:rsid w:val="00E86FD5"/>
    <w:rsid w:val="00EA4793"/>
    <w:rsid w:val="00EA6693"/>
    <w:rsid w:val="00EB3D21"/>
    <w:rsid w:val="00EC3693"/>
    <w:rsid w:val="00ED1997"/>
    <w:rsid w:val="00F06354"/>
    <w:rsid w:val="00F54154"/>
    <w:rsid w:val="00F57750"/>
    <w:rsid w:val="00F928B5"/>
    <w:rsid w:val="00FA45EA"/>
    <w:rsid w:val="00FD172A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35FD"/>
  <w15:docId w15:val="{2770EEB0-F40E-4E98-B3CA-15A43E0C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hr-HR" w:eastAsia="en-US" w:bidi="ar-SA"/>
      </w:rPr>
    </w:rPrDefault>
    <w:pPrDefault>
      <w:pPr>
        <w:autoSpaceDN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uiPriority w:val="9"/>
    <w:unhideWhenUsed/>
    <w:qFormat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uiPriority w:val="9"/>
    <w:unhideWhenUsed/>
    <w:qFormat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Naslov7">
    <w:name w:val="heading 7"/>
    <w:basedOn w:val="Normal"/>
    <w:next w:val="Normal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Naslov8">
    <w:name w:val="heading 8"/>
    <w:basedOn w:val="Normal"/>
    <w:next w:val="Normal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Naslov9">
    <w:name w:val="heading 9"/>
    <w:basedOn w:val="Normal"/>
    <w:next w:val="Normal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smallCaps/>
      <w:spacing w:val="5"/>
      <w:sz w:val="32"/>
      <w:szCs w:val="32"/>
    </w:rPr>
  </w:style>
  <w:style w:type="character" w:customStyle="1" w:styleId="Naslov2Char">
    <w:name w:val="Naslov 2 Char"/>
    <w:basedOn w:val="Zadanifontodlomka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rPr>
      <w:i/>
      <w:iCs/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rPr>
      <w:smallCaps/>
      <w:color w:val="538135"/>
      <w:spacing w:val="10"/>
      <w:sz w:val="22"/>
      <w:szCs w:val="22"/>
    </w:rPr>
  </w:style>
  <w:style w:type="character" w:customStyle="1" w:styleId="Naslov6Char">
    <w:name w:val="Naslov 6 Char"/>
    <w:basedOn w:val="Zadanifontodlomka"/>
    <w:rPr>
      <w:smallCaps/>
      <w:color w:val="70AD47"/>
      <w:spacing w:val="5"/>
      <w:sz w:val="22"/>
      <w:szCs w:val="22"/>
    </w:rPr>
  </w:style>
  <w:style w:type="character" w:customStyle="1" w:styleId="Naslov7Char">
    <w:name w:val="Naslov 7 Char"/>
    <w:basedOn w:val="Zadanifontodlomka"/>
    <w:rPr>
      <w:b/>
      <w:bCs/>
      <w:smallCaps/>
      <w:color w:val="70AD47"/>
      <w:spacing w:val="10"/>
    </w:rPr>
  </w:style>
  <w:style w:type="character" w:customStyle="1" w:styleId="Naslov8Char">
    <w:name w:val="Naslov 8 Char"/>
    <w:basedOn w:val="Zadanifontodlomka"/>
    <w:rPr>
      <w:b/>
      <w:bCs/>
      <w:i/>
      <w:iCs/>
      <w:smallCaps/>
      <w:color w:val="538135"/>
    </w:rPr>
  </w:style>
  <w:style w:type="character" w:customStyle="1" w:styleId="Naslov9Char">
    <w:name w:val="Naslov 9 Char"/>
    <w:basedOn w:val="Zadanifontodlomka"/>
    <w:rPr>
      <w:b/>
      <w:bCs/>
      <w:i/>
      <w:iCs/>
      <w:smallCaps/>
      <w:color w:val="385623"/>
    </w:rPr>
  </w:style>
  <w:style w:type="paragraph" w:styleId="Naslov">
    <w:name w:val="Title"/>
    <w:basedOn w:val="Normal"/>
    <w:next w:val="Normal"/>
    <w:uiPriority w:val="10"/>
    <w:qFormat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NaslovChar">
    <w:name w:val="Naslov Char"/>
    <w:basedOn w:val="Zadanifontodlomka"/>
    <w:rPr>
      <w:smallCaps/>
      <w:color w:val="262626"/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spacing w:after="720" w:line="240" w:lineRule="auto"/>
      <w:jc w:val="right"/>
    </w:pPr>
    <w:rPr>
      <w:rFonts w:ascii="Calibri Light" w:hAnsi="Calibri Light" w:cs="Times New Roman"/>
    </w:rPr>
  </w:style>
  <w:style w:type="character" w:customStyle="1" w:styleId="PodnaslovChar">
    <w:name w:val="Podnaslov Char"/>
    <w:basedOn w:val="Zadanifontodlomka"/>
    <w:rPr>
      <w:rFonts w:ascii="Calibri Light" w:eastAsia="SimSun" w:hAnsi="Calibri Light" w:cs="Times New Roman"/>
    </w:rPr>
  </w:style>
  <w:style w:type="character" w:styleId="Neupadljivoisticanje">
    <w:name w:val="Subtle Emphasis"/>
    <w:rPr>
      <w:i/>
      <w:iCs/>
    </w:rPr>
  </w:style>
  <w:style w:type="character" w:styleId="Istaknuto">
    <w:name w:val="Emphasis"/>
    <w:rPr>
      <w:b/>
      <w:bCs/>
      <w:i/>
      <w:iCs/>
      <w:spacing w:val="10"/>
    </w:rPr>
  </w:style>
  <w:style w:type="character" w:styleId="Jakoisticanje">
    <w:name w:val="Intense Emphasis"/>
    <w:rPr>
      <w:b/>
      <w:bCs/>
      <w:i/>
      <w:iCs/>
      <w:color w:val="70AD47"/>
      <w:spacing w:val="10"/>
    </w:rPr>
  </w:style>
  <w:style w:type="character" w:styleId="Naglaeno">
    <w:name w:val="Strong"/>
    <w:rPr>
      <w:b/>
      <w:bCs/>
      <w:color w:val="70AD47"/>
    </w:rPr>
  </w:style>
  <w:style w:type="paragraph" w:styleId="Citat">
    <w:name w:val="Quote"/>
    <w:basedOn w:val="Normal"/>
    <w:next w:val="Normal"/>
    <w:rPr>
      <w:i/>
      <w:iCs/>
    </w:rPr>
  </w:style>
  <w:style w:type="character" w:customStyle="1" w:styleId="CitatChar">
    <w:name w:val="Citat Char"/>
    <w:basedOn w:val="Zadanifontodlomka"/>
    <w:rPr>
      <w:i/>
      <w:iCs/>
    </w:rPr>
  </w:style>
  <w:style w:type="paragraph" w:styleId="Naglaencitat">
    <w:name w:val="Intense Quote"/>
    <w:basedOn w:val="Normal"/>
    <w:next w:val="Normal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rPr>
      <w:b/>
      <w:bCs/>
      <w:i/>
      <w:iCs/>
    </w:rPr>
  </w:style>
  <w:style w:type="character" w:styleId="Neupadljivareferenca">
    <w:name w:val="Subtle Reference"/>
    <w:rPr>
      <w:b/>
      <w:bCs/>
    </w:rPr>
  </w:style>
  <w:style w:type="character" w:styleId="Istaknutareferenca">
    <w:name w:val="Intense Reference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rPr>
      <w:rFonts w:ascii="Calibri Light" w:eastAsia="SimSun" w:hAnsi="Calibri Light" w:cs="Times New Roman"/>
      <w:i/>
      <w:iCs/>
      <w:sz w:val="20"/>
      <w:szCs w:val="20"/>
    </w:rPr>
  </w:style>
  <w:style w:type="character" w:styleId="Hiperveza">
    <w:name w:val="Hyperlink"/>
    <w:basedOn w:val="Zadanifontodlomka"/>
    <w:rPr>
      <w:rFonts w:ascii="Calibri" w:hAnsi="Calibri" w:cs="Calibri"/>
      <w:color w:val="1F4E79"/>
      <w:u w:val="single"/>
    </w:rPr>
  </w:style>
  <w:style w:type="character" w:styleId="SlijeenaHiperveza">
    <w:name w:val="FollowedHyperlink"/>
    <w:basedOn w:val="Zadanifontodlomka"/>
    <w:rPr>
      <w:rFonts w:ascii="Calibri" w:hAnsi="Calibri" w:cs="Calibri"/>
      <w:color w:val="954F72"/>
      <w:u w:val="single"/>
    </w:rPr>
  </w:style>
  <w:style w:type="paragraph" w:styleId="Opisslike">
    <w:name w:val="caption"/>
    <w:basedOn w:val="Normal"/>
    <w:next w:val="Normal"/>
    <w:rPr>
      <w:b/>
      <w:bCs/>
      <w:caps/>
      <w:sz w:val="16"/>
      <w:szCs w:val="16"/>
    </w:rPr>
  </w:style>
  <w:style w:type="paragraph" w:styleId="Tekstbalonia">
    <w:name w:val="Balloon Text"/>
    <w:basedOn w:val="Normal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Cs w:val="18"/>
    </w:rPr>
  </w:style>
  <w:style w:type="paragraph" w:styleId="Blokteksta">
    <w:name w:val="Block Text"/>
    <w:basedOn w:val="Normal"/>
    <w:pPr>
      <w:pBdr>
        <w:top w:val="single" w:sz="2" w:space="10" w:color="5B9BD5" w:shadow="1"/>
        <w:left w:val="single" w:sz="2" w:space="10" w:color="5B9BD5" w:shadow="1"/>
        <w:bottom w:val="single" w:sz="2" w:space="10" w:color="5B9BD5" w:shadow="1"/>
        <w:right w:val="single" w:sz="2" w:space="10" w:color="5B9BD5" w:shadow="1"/>
      </w:pBdr>
      <w:ind w:left="1152" w:right="1152"/>
    </w:pPr>
    <w:rPr>
      <w:i/>
      <w:iCs/>
      <w:color w:val="1F4E79"/>
    </w:rPr>
  </w:style>
  <w:style w:type="paragraph" w:styleId="Tijeloteksta3">
    <w:name w:val="Body Text 3"/>
    <w:basedOn w:val="Normal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</w:style>
  <w:style w:type="character" w:customStyle="1" w:styleId="TekstkomentaraChar">
    <w:name w:val="Tekst komentara Char"/>
    <w:basedOn w:val="Zadanifontodlomka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character" w:customStyle="1" w:styleId="PredmetkomentaraChar">
    <w:name w:val="Predmet komentara Char"/>
    <w:basedOn w:val="TekstkomentaraChar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rPr>
      <w:rFonts w:ascii="Segoe UI" w:hAnsi="Segoe UI" w:cs="Segoe UI"/>
      <w:szCs w:val="16"/>
    </w:rPr>
  </w:style>
  <w:style w:type="paragraph" w:styleId="Tekstkrajnjebiljeke">
    <w:name w:val="endnote text"/>
    <w:basedOn w:val="Normal"/>
  </w:style>
  <w:style w:type="character" w:customStyle="1" w:styleId="TekstkrajnjebiljekeChar">
    <w:name w:val="Tekst krajnje bilješke Char"/>
    <w:basedOn w:val="Zadanifontodlomka"/>
    <w:rPr>
      <w:rFonts w:ascii="Calibri" w:hAnsi="Calibri" w:cs="Calibri"/>
      <w:szCs w:val="20"/>
    </w:rPr>
  </w:style>
  <w:style w:type="paragraph" w:styleId="Povratnaomotnica">
    <w:name w:val="envelope return"/>
    <w:basedOn w:val="Normal"/>
    <w:rPr>
      <w:rFonts w:ascii="Calibri Light" w:hAnsi="Calibri Light" w:cs="Calibri Light"/>
    </w:rPr>
  </w:style>
  <w:style w:type="paragraph" w:styleId="Tekstfusnote">
    <w:name w:val="footnote text"/>
    <w:basedOn w:val="Normal"/>
  </w:style>
  <w:style w:type="character" w:customStyle="1" w:styleId="TekstfusnoteChar">
    <w:name w:val="Tekst fusnote Char"/>
    <w:basedOn w:val="Zadanifontodlomka"/>
    <w:rPr>
      <w:rFonts w:ascii="Calibri" w:hAnsi="Calibri" w:cs="Calibri"/>
      <w:szCs w:val="20"/>
    </w:rPr>
  </w:style>
  <w:style w:type="character" w:styleId="HTML-kod">
    <w:name w:val="HTML Code"/>
    <w:basedOn w:val="Zadanifontodlomka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rPr>
      <w:rFonts w:ascii="Consolas" w:hAnsi="Consolas"/>
    </w:rPr>
  </w:style>
  <w:style w:type="character" w:customStyle="1" w:styleId="HTMLunaprijedoblikovanoChar">
    <w:name w:val="HTML unaprijed oblikovano Char"/>
    <w:basedOn w:val="Zadanifontodlomka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rPr>
      <w:rFonts w:ascii="Consolas" w:hAnsi="Consolas" w:cs="Calibri"/>
      <w:sz w:val="22"/>
      <w:szCs w:val="20"/>
    </w:rPr>
  </w:style>
  <w:style w:type="paragraph" w:styleId="Tekstmakronaredbe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nsolas" w:hAnsi="Consolas" w:cs="Calibri"/>
    </w:rPr>
  </w:style>
  <w:style w:type="character" w:customStyle="1" w:styleId="TekstmakronaredbeChar">
    <w:name w:val="Tekst makronaredbe Char"/>
    <w:basedOn w:val="Zadanifontodlomka"/>
    <w:rPr>
      <w:rFonts w:ascii="Consolas" w:hAnsi="Consolas" w:cs="Calibri"/>
      <w:szCs w:val="20"/>
    </w:rPr>
  </w:style>
  <w:style w:type="paragraph" w:styleId="Obinitekst">
    <w:name w:val="Plain Text"/>
    <w:basedOn w:val="Normal"/>
    <w:rPr>
      <w:rFonts w:ascii="Consolas" w:hAnsi="Consolas"/>
    </w:rPr>
  </w:style>
  <w:style w:type="character" w:customStyle="1" w:styleId="ObinitekstChar">
    <w:name w:val="Obični tekst Char"/>
    <w:basedOn w:val="Zadanifontodlomka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rPr>
      <w:rFonts w:ascii="Calibri" w:hAnsi="Calibri" w:cs="Calibri"/>
      <w:color w:val="3B3838"/>
    </w:rPr>
  </w:style>
  <w:style w:type="paragraph" w:styleId="Zaglavlje">
    <w:name w:val="header"/>
    <w:basedOn w:val="Normal"/>
  </w:style>
  <w:style w:type="character" w:customStyle="1" w:styleId="ZaglavljeChar">
    <w:name w:val="Zaglavlje Char"/>
    <w:basedOn w:val="Zadanifontodlomka"/>
    <w:rPr>
      <w:rFonts w:ascii="Calibri" w:hAnsi="Calibri" w:cs="Calibri"/>
    </w:rPr>
  </w:style>
  <w:style w:type="paragraph" w:styleId="Podnoje">
    <w:name w:val="footer"/>
    <w:basedOn w:val="Normal"/>
  </w:style>
  <w:style w:type="character" w:customStyle="1" w:styleId="PodnojeChar">
    <w:name w:val="Podnožje Char"/>
    <w:basedOn w:val="Zadanifontodlomka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pPr>
      <w:spacing w:after="0"/>
      <w:ind w:left="1680"/>
    </w:pPr>
    <w:rPr>
      <w:rFonts w:cs="Calibri"/>
    </w:rPr>
  </w:style>
  <w:style w:type="character" w:styleId="Spominjanje">
    <w:name w:val="Mention"/>
    <w:basedOn w:val="Zadanifontodlomka"/>
    <w:rPr>
      <w:rFonts w:ascii="Calibri" w:hAnsi="Calibri" w:cs="Calibri"/>
      <w:color w:val="2B579A"/>
      <w:shd w:val="clear" w:color="auto" w:fill="E1DFDD"/>
    </w:rPr>
  </w:style>
  <w:style w:type="character" w:styleId="HTML-varijabla">
    <w:name w:val="HTML Variable"/>
    <w:basedOn w:val="Zadanifontodlomka"/>
    <w:rPr>
      <w:rFonts w:ascii="Calibri" w:hAnsi="Calibri" w:cs="Calibri"/>
      <w:i/>
      <w:iCs/>
    </w:rPr>
  </w:style>
  <w:style w:type="paragraph" w:styleId="HTML-adresa">
    <w:name w:val="HTML Address"/>
    <w:basedOn w:val="Normal"/>
    <w:rPr>
      <w:i/>
      <w:iCs/>
    </w:rPr>
  </w:style>
  <w:style w:type="character" w:customStyle="1" w:styleId="HTML-adresaChar">
    <w:name w:val="HTML-adresa Char"/>
    <w:basedOn w:val="Zadanifontodlomka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rPr>
      <w:rFonts w:ascii="Calibri" w:hAnsi="Calibri" w:cs="Calibri"/>
      <w:i/>
      <w:iCs/>
    </w:rPr>
  </w:style>
  <w:style w:type="character" w:styleId="HTML-navod">
    <w:name w:val="HTML Cite"/>
    <w:basedOn w:val="Zadanifontodlomka"/>
    <w:rPr>
      <w:rFonts w:ascii="Calibri" w:hAnsi="Calibri" w:cs="Calibri"/>
      <w:i/>
      <w:iCs/>
    </w:rPr>
  </w:style>
  <w:style w:type="character" w:styleId="HTML-primjer">
    <w:name w:val="HTML Sample"/>
    <w:basedOn w:val="Zadanifontodlomka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pPr>
      <w:spacing w:before="120" w:after="0"/>
    </w:pPr>
    <w:rPr>
      <w:rFonts w:cs="Calibri"/>
      <w:b/>
      <w:bCs/>
      <w:i/>
      <w:iCs/>
      <w:sz w:val="24"/>
      <w:szCs w:val="24"/>
    </w:rPr>
  </w:style>
  <w:style w:type="paragraph" w:styleId="Sadraj2">
    <w:name w:val="toc 2"/>
    <w:basedOn w:val="Normal"/>
    <w:next w:val="Normal"/>
    <w:autoRedefine/>
    <w:pPr>
      <w:spacing w:before="120" w:after="0"/>
      <w:ind w:left="210"/>
    </w:pPr>
    <w:rPr>
      <w:rFonts w:cs="Calibri"/>
      <w:b/>
      <w:bCs/>
      <w:sz w:val="22"/>
      <w:szCs w:val="22"/>
    </w:rPr>
  </w:style>
  <w:style w:type="paragraph" w:styleId="Sadraj3">
    <w:name w:val="toc 3"/>
    <w:basedOn w:val="Normal"/>
    <w:next w:val="Normal"/>
    <w:autoRedefine/>
    <w:pPr>
      <w:tabs>
        <w:tab w:val="left" w:pos="1050"/>
        <w:tab w:val="right" w:leader="underscore" w:pos="9016"/>
      </w:tabs>
      <w:spacing w:after="0"/>
      <w:ind w:left="420"/>
    </w:pPr>
    <w:rPr>
      <w:rFonts w:cs="Calibri"/>
    </w:rPr>
  </w:style>
  <w:style w:type="paragraph" w:styleId="Sadraj4">
    <w:name w:val="toc 4"/>
    <w:basedOn w:val="Normal"/>
    <w:next w:val="Normal"/>
    <w:autoRedefine/>
    <w:pPr>
      <w:spacing w:after="0"/>
      <w:ind w:left="630"/>
    </w:pPr>
    <w:rPr>
      <w:rFonts w:cs="Calibri"/>
    </w:rPr>
  </w:style>
  <w:style w:type="paragraph" w:styleId="Sadraj5">
    <w:name w:val="toc 5"/>
    <w:basedOn w:val="Normal"/>
    <w:next w:val="Normal"/>
    <w:autoRedefine/>
    <w:pPr>
      <w:spacing w:after="0"/>
      <w:ind w:left="840"/>
    </w:pPr>
    <w:rPr>
      <w:rFonts w:cs="Calibri"/>
    </w:rPr>
  </w:style>
  <w:style w:type="paragraph" w:styleId="Sadraj6">
    <w:name w:val="toc 6"/>
    <w:basedOn w:val="Normal"/>
    <w:next w:val="Normal"/>
    <w:autoRedefine/>
    <w:pPr>
      <w:spacing w:after="0"/>
      <w:ind w:left="1050"/>
    </w:pPr>
    <w:rPr>
      <w:rFonts w:cs="Calibri"/>
    </w:rPr>
  </w:style>
  <w:style w:type="paragraph" w:styleId="Sadraj7">
    <w:name w:val="toc 7"/>
    <w:basedOn w:val="Normal"/>
    <w:next w:val="Normal"/>
    <w:autoRedefine/>
    <w:pPr>
      <w:spacing w:after="0"/>
      <w:ind w:left="1260"/>
    </w:pPr>
    <w:rPr>
      <w:rFonts w:cs="Calibri"/>
    </w:rPr>
  </w:style>
  <w:style w:type="paragraph" w:styleId="Sadraj8">
    <w:name w:val="toc 8"/>
    <w:basedOn w:val="Normal"/>
    <w:next w:val="Normal"/>
    <w:autoRedefine/>
    <w:pPr>
      <w:spacing w:after="0"/>
      <w:ind w:left="1470"/>
    </w:pPr>
    <w:rPr>
      <w:rFonts w:cs="Calibri"/>
    </w:rPr>
  </w:style>
  <w:style w:type="paragraph" w:styleId="TOCNaslov">
    <w:name w:val="TOC Heading"/>
    <w:basedOn w:val="Naslov1"/>
    <w:next w:val="Normal"/>
  </w:style>
  <w:style w:type="paragraph" w:styleId="Bibliografija">
    <w:name w:val="Bibliography"/>
    <w:basedOn w:val="Normal"/>
    <w:next w:val="Normal"/>
  </w:style>
  <w:style w:type="character" w:styleId="Znak">
    <w:name w:val="Hashtag"/>
    <w:basedOn w:val="Zadanifontodlomka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left="1080" w:hanging="1080"/>
    </w:pPr>
    <w:rPr>
      <w:rFonts w:ascii="Calibri Light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rPr>
      <w:rFonts w:ascii="Calibri Light" w:eastAsia="SimSun" w:hAnsi="Calibri Light" w:cs="Calibri Light"/>
      <w:sz w:val="24"/>
      <w:szCs w:val="24"/>
      <w:shd w:val="clear" w:color="auto" w:fill="auto"/>
    </w:rPr>
  </w:style>
  <w:style w:type="paragraph" w:styleId="Popis">
    <w:name w:val="List"/>
    <w:basedOn w:val="Normal"/>
    <w:pPr>
      <w:ind w:left="360" w:hanging="360"/>
      <w:contextualSpacing/>
    </w:pPr>
  </w:style>
  <w:style w:type="paragraph" w:styleId="Popis2">
    <w:name w:val="List 2"/>
    <w:basedOn w:val="Normal"/>
    <w:pPr>
      <w:ind w:left="720" w:hanging="360"/>
      <w:contextualSpacing/>
    </w:pPr>
  </w:style>
  <w:style w:type="paragraph" w:styleId="Popis3">
    <w:name w:val="List 3"/>
    <w:basedOn w:val="Normal"/>
    <w:pPr>
      <w:ind w:left="1080" w:hanging="360"/>
      <w:contextualSpacing/>
    </w:pPr>
  </w:style>
  <w:style w:type="paragraph" w:styleId="Popis4">
    <w:name w:val="List 4"/>
    <w:basedOn w:val="Normal"/>
    <w:pPr>
      <w:ind w:left="1440" w:hanging="360"/>
      <w:contextualSpacing/>
    </w:pPr>
  </w:style>
  <w:style w:type="paragraph" w:styleId="Popis5">
    <w:name w:val="List 5"/>
    <w:basedOn w:val="Normal"/>
    <w:pPr>
      <w:ind w:left="1800" w:hanging="360"/>
      <w:contextualSpacing/>
    </w:pPr>
  </w:style>
  <w:style w:type="paragraph" w:styleId="Nastavakpopisa">
    <w:name w:val="List Continue"/>
    <w:basedOn w:val="Normal"/>
    <w:pPr>
      <w:spacing w:after="120"/>
      <w:ind w:left="360"/>
      <w:contextualSpacing/>
    </w:pPr>
  </w:style>
  <w:style w:type="paragraph" w:styleId="Nastavakpopisa2">
    <w:name w:val="List Continue 2"/>
    <w:basedOn w:val="Normal"/>
    <w:pPr>
      <w:spacing w:after="120"/>
      <w:ind w:left="720"/>
      <w:contextualSpacing/>
    </w:pPr>
  </w:style>
  <w:style w:type="paragraph" w:styleId="Nastavakpopisa3">
    <w:name w:val="List Continue 3"/>
    <w:basedOn w:val="Normal"/>
    <w:pPr>
      <w:spacing w:after="120"/>
      <w:ind w:left="1080"/>
      <w:contextualSpacing/>
    </w:pPr>
  </w:style>
  <w:style w:type="paragraph" w:styleId="Nastavakpopisa4">
    <w:name w:val="List Continue 4"/>
    <w:basedOn w:val="Normal"/>
    <w:pPr>
      <w:spacing w:after="120"/>
      <w:ind w:left="1440"/>
      <w:contextualSpacing/>
    </w:pPr>
  </w:style>
  <w:style w:type="paragraph" w:styleId="Nastavakpopisa5">
    <w:name w:val="List Continue 5"/>
    <w:basedOn w:val="Normal"/>
    <w:pPr>
      <w:spacing w:after="120"/>
      <w:ind w:left="1800"/>
      <w:contextualSpacing/>
    </w:pPr>
  </w:style>
  <w:style w:type="paragraph" w:styleId="Odlomakpopisa">
    <w:name w:val="List Paragraph"/>
    <w:basedOn w:val="Normal"/>
    <w:pPr>
      <w:ind w:left="720"/>
      <w:contextualSpacing/>
    </w:pPr>
  </w:style>
  <w:style w:type="paragraph" w:styleId="Brojevi">
    <w:name w:val="List Number"/>
    <w:basedOn w:val="Normal"/>
    <w:pPr>
      <w:numPr>
        <w:numId w:val="9"/>
      </w:numPr>
      <w:contextualSpacing/>
    </w:pPr>
  </w:style>
  <w:style w:type="paragraph" w:styleId="Brojevi2">
    <w:name w:val="List Number 2"/>
    <w:basedOn w:val="Normal"/>
    <w:pPr>
      <w:numPr>
        <w:numId w:val="10"/>
      </w:numPr>
      <w:contextualSpacing/>
    </w:pPr>
  </w:style>
  <w:style w:type="paragraph" w:styleId="Brojevi3">
    <w:name w:val="List Number 3"/>
    <w:basedOn w:val="Normal"/>
    <w:pPr>
      <w:numPr>
        <w:numId w:val="11"/>
      </w:numPr>
      <w:contextualSpacing/>
    </w:pPr>
  </w:style>
  <w:style w:type="paragraph" w:styleId="Brojevi4">
    <w:name w:val="List Number 4"/>
    <w:basedOn w:val="Normal"/>
    <w:pPr>
      <w:numPr>
        <w:numId w:val="12"/>
      </w:numPr>
      <w:contextualSpacing/>
    </w:pPr>
  </w:style>
  <w:style w:type="paragraph" w:styleId="Brojevi5">
    <w:name w:val="List Number 5"/>
    <w:basedOn w:val="Normal"/>
    <w:pPr>
      <w:numPr>
        <w:numId w:val="13"/>
      </w:numPr>
      <w:contextualSpacing/>
    </w:pPr>
  </w:style>
  <w:style w:type="paragraph" w:styleId="Grafikeoznake">
    <w:name w:val="List Bullet"/>
    <w:basedOn w:val="Normal"/>
    <w:pPr>
      <w:numPr>
        <w:numId w:val="4"/>
      </w:numPr>
      <w:contextualSpacing/>
    </w:pPr>
  </w:style>
  <w:style w:type="paragraph" w:styleId="Grafikeoznake2">
    <w:name w:val="List Bullet 2"/>
    <w:basedOn w:val="Normal"/>
    <w:pPr>
      <w:numPr>
        <w:numId w:val="5"/>
      </w:numPr>
      <w:contextualSpacing/>
    </w:pPr>
  </w:style>
  <w:style w:type="paragraph" w:styleId="Grafikeoznake3">
    <w:name w:val="List Bullet 3"/>
    <w:basedOn w:val="Normal"/>
    <w:pPr>
      <w:numPr>
        <w:numId w:val="6"/>
      </w:numPr>
      <w:contextualSpacing/>
    </w:pPr>
  </w:style>
  <w:style w:type="paragraph" w:styleId="Grafikeoznake4">
    <w:name w:val="List Bullet 4"/>
    <w:basedOn w:val="Normal"/>
    <w:pPr>
      <w:numPr>
        <w:numId w:val="7"/>
      </w:numPr>
      <w:contextualSpacing/>
    </w:pPr>
  </w:style>
  <w:style w:type="paragraph" w:styleId="Grafikeoznake5">
    <w:name w:val="List Bullet 5"/>
    <w:basedOn w:val="Normal"/>
    <w:pPr>
      <w:numPr>
        <w:numId w:val="8"/>
      </w:numPr>
      <w:contextualSpacing/>
    </w:pPr>
  </w:style>
  <w:style w:type="paragraph" w:styleId="Tablicaslika">
    <w:name w:val="table of figures"/>
    <w:basedOn w:val="Normal"/>
    <w:next w:val="Normal"/>
  </w:style>
  <w:style w:type="character" w:styleId="Referencakrajnjebiljeke">
    <w:name w:val="endnote reference"/>
    <w:basedOn w:val="Zadanifontodlomka"/>
    <w:rPr>
      <w:rFonts w:ascii="Calibri" w:hAnsi="Calibri" w:cs="Calibri"/>
      <w:position w:val="0"/>
      <w:vertAlign w:val="superscript"/>
    </w:rPr>
  </w:style>
  <w:style w:type="paragraph" w:styleId="Tablicaizvora">
    <w:name w:val="table of authorities"/>
    <w:basedOn w:val="Normal"/>
    <w:next w:val="Normal"/>
    <w:pPr>
      <w:ind w:left="220" w:hanging="220"/>
    </w:pPr>
  </w:style>
  <w:style w:type="paragraph" w:styleId="Naslovtabliceizvora">
    <w:name w:val="toa heading"/>
    <w:basedOn w:val="Normal"/>
    <w:next w:val="Normal"/>
    <w:pPr>
      <w:spacing w:before="120"/>
    </w:pPr>
    <w:rPr>
      <w:rFonts w:ascii="Calibri Light" w:hAnsi="Calibri Light" w:cs="Calibri Light"/>
      <w:b/>
      <w:bCs/>
      <w:sz w:val="24"/>
      <w:szCs w:val="24"/>
    </w:rPr>
  </w:style>
  <w:style w:type="paragraph" w:styleId="Adresaomotnice">
    <w:name w:val="envelope address"/>
    <w:basedOn w:val="Normal"/>
    <w:pPr>
      <w:ind w:left="2880"/>
    </w:pPr>
    <w:rPr>
      <w:rFonts w:ascii="Calibri Light" w:hAnsi="Calibri Light" w:cs="Calibri Light"/>
      <w:sz w:val="24"/>
      <w:szCs w:val="24"/>
    </w:rPr>
  </w:style>
  <w:style w:type="paragraph" w:styleId="Bezproreda">
    <w:name w:val="No Spacing"/>
    <w:pPr>
      <w:suppressAutoHyphens/>
      <w:spacing w:after="0" w:line="240" w:lineRule="auto"/>
    </w:pPr>
  </w:style>
  <w:style w:type="paragraph" w:styleId="Datum">
    <w:name w:val="Date"/>
    <w:basedOn w:val="Normal"/>
    <w:next w:val="Normal"/>
  </w:style>
  <w:style w:type="character" w:customStyle="1" w:styleId="DatumChar">
    <w:name w:val="Datum Char"/>
    <w:basedOn w:val="Zadanifontodlomka"/>
    <w:rPr>
      <w:rFonts w:ascii="Calibri" w:hAnsi="Calibri" w:cs="Calibri"/>
    </w:rPr>
  </w:style>
  <w:style w:type="paragraph" w:styleId="StandardWeb">
    <w:name w:val="Normal (Web)"/>
    <w:basedOn w:val="Normal"/>
    <w:rPr>
      <w:rFonts w:ascii="Times New Roman" w:hAnsi="Times New Roman" w:cs="Times New Roman"/>
      <w:sz w:val="24"/>
      <w:szCs w:val="24"/>
    </w:rPr>
  </w:style>
  <w:style w:type="character" w:styleId="Pametnahiperveza">
    <w:name w:val="Smart Hyperlink"/>
    <w:basedOn w:val="Zadanifontodlomka"/>
    <w:rPr>
      <w:rFonts w:ascii="Calibri" w:hAnsi="Calibri" w:cs="Calibri"/>
      <w:u w:val="dotted"/>
    </w:rPr>
  </w:style>
  <w:style w:type="character" w:styleId="Nerijeenospominjanje">
    <w:name w:val="Unresolved Mention"/>
    <w:basedOn w:val="Zadanifontodlomka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pPr>
      <w:spacing w:after="120"/>
    </w:pPr>
  </w:style>
  <w:style w:type="character" w:customStyle="1" w:styleId="TijelotekstaChar">
    <w:name w:val="Tijelo teksta Char"/>
    <w:basedOn w:val="Zadanifontodlomka"/>
    <w:rPr>
      <w:rFonts w:ascii="Calibri" w:hAnsi="Calibri" w:cs="Calibri"/>
    </w:rPr>
  </w:style>
  <w:style w:type="paragraph" w:styleId="Tijeloteksta2">
    <w:name w:val="Body Text 2"/>
    <w:basedOn w:val="Normal"/>
    <w:pPr>
      <w:spacing w:after="120" w:line="480" w:lineRule="auto"/>
    </w:pPr>
  </w:style>
  <w:style w:type="character" w:customStyle="1" w:styleId="Tijeloteksta2Char">
    <w:name w:val="Tijelo teksta 2 Char"/>
    <w:basedOn w:val="Zadanifontodlomka"/>
    <w:rPr>
      <w:rFonts w:ascii="Calibri" w:hAnsi="Calibri" w:cs="Calibri"/>
    </w:rPr>
  </w:style>
  <w:style w:type="paragraph" w:styleId="Uvuenotijeloteksta">
    <w:name w:val="Body Text Indent"/>
    <w:basedOn w:val="Normal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rPr>
      <w:rFonts w:ascii="Calibri" w:hAnsi="Calibri" w:cs="Calibri"/>
    </w:rPr>
  </w:style>
  <w:style w:type="paragraph" w:styleId="Tijeloteksta-uvlaka2">
    <w:name w:val="Body Text Indent 2"/>
    <w:basedOn w:val="Normal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rPr>
      <w:rFonts w:ascii="Calibri" w:hAnsi="Calibri" w:cs="Calibri"/>
    </w:rPr>
  </w:style>
  <w:style w:type="paragraph" w:styleId="Tijeloteksta-prvauvlaka">
    <w:name w:val="Body Text First Indent"/>
    <w:basedOn w:val="Tijeloteksta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rPr>
      <w:rFonts w:ascii="Calibri" w:hAnsi="Calibri" w:cs="Calibri"/>
    </w:rPr>
  </w:style>
  <w:style w:type="paragraph" w:styleId="Tijeloteksta-prvauvlaka2">
    <w:name w:val="Body Text First Indent 2"/>
    <w:basedOn w:val="Uvuenotijeloteksta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rPr>
      <w:rFonts w:ascii="Calibri" w:hAnsi="Calibri" w:cs="Calibri"/>
    </w:rPr>
  </w:style>
  <w:style w:type="paragraph" w:styleId="Obinouvueno">
    <w:name w:val="Normal Indent"/>
    <w:basedOn w:val="Normal"/>
    <w:pPr>
      <w:ind w:left="720"/>
    </w:pPr>
  </w:style>
  <w:style w:type="paragraph" w:styleId="Naslovbiljeke">
    <w:name w:val="Note Heading"/>
    <w:basedOn w:val="Normal"/>
    <w:next w:val="Normal"/>
  </w:style>
  <w:style w:type="character" w:customStyle="1" w:styleId="NaslovbiljekeChar">
    <w:name w:val="Naslov bilješke Char"/>
    <w:basedOn w:val="Zadanifontodlomka"/>
    <w:rPr>
      <w:rFonts w:ascii="Calibri" w:hAnsi="Calibri" w:cs="Calibri"/>
    </w:rPr>
  </w:style>
  <w:style w:type="paragraph" w:styleId="Potpise-pote">
    <w:name w:val="E-mail Signature"/>
    <w:basedOn w:val="Normal"/>
  </w:style>
  <w:style w:type="character" w:customStyle="1" w:styleId="Potpise-poteChar">
    <w:name w:val="Potpis e-pošte Char"/>
    <w:basedOn w:val="Zadanifontodlomka"/>
    <w:rPr>
      <w:rFonts w:ascii="Calibri" w:hAnsi="Calibri" w:cs="Calibri"/>
    </w:rPr>
  </w:style>
  <w:style w:type="paragraph" w:styleId="Pozdrav">
    <w:name w:val="Salutation"/>
    <w:basedOn w:val="Normal"/>
    <w:next w:val="Normal"/>
  </w:style>
  <w:style w:type="character" w:customStyle="1" w:styleId="PozdravChar">
    <w:name w:val="Pozdrav Char"/>
    <w:basedOn w:val="Zadanifontodlomka"/>
    <w:rPr>
      <w:rFonts w:ascii="Calibri" w:hAnsi="Calibri" w:cs="Calibri"/>
    </w:rPr>
  </w:style>
  <w:style w:type="paragraph" w:styleId="Potpis">
    <w:name w:val="Signature"/>
    <w:basedOn w:val="Normal"/>
    <w:pPr>
      <w:ind w:left="4320"/>
    </w:pPr>
  </w:style>
  <w:style w:type="character" w:customStyle="1" w:styleId="PotpisChar">
    <w:name w:val="Potpis Char"/>
    <w:basedOn w:val="Zadanifontodlomka"/>
    <w:rPr>
      <w:rFonts w:ascii="Calibri" w:hAnsi="Calibri" w:cs="Calibri"/>
    </w:rPr>
  </w:style>
  <w:style w:type="paragraph" w:styleId="Indeks1">
    <w:name w:val="index 1"/>
    <w:basedOn w:val="Normal"/>
    <w:next w:val="Normal"/>
    <w:autoRedefine/>
    <w:pPr>
      <w:ind w:left="220" w:hanging="220"/>
    </w:pPr>
  </w:style>
  <w:style w:type="paragraph" w:styleId="Indeks2">
    <w:name w:val="index 2"/>
    <w:basedOn w:val="Normal"/>
    <w:next w:val="Normal"/>
    <w:autoRedefine/>
    <w:pPr>
      <w:ind w:left="440" w:hanging="220"/>
    </w:pPr>
  </w:style>
  <w:style w:type="paragraph" w:styleId="Indeks3">
    <w:name w:val="index 3"/>
    <w:basedOn w:val="Normal"/>
    <w:next w:val="Normal"/>
    <w:autoRedefine/>
    <w:pPr>
      <w:ind w:left="660" w:hanging="220"/>
    </w:pPr>
  </w:style>
  <w:style w:type="paragraph" w:styleId="Indeks4">
    <w:name w:val="index 4"/>
    <w:basedOn w:val="Normal"/>
    <w:next w:val="Normal"/>
    <w:autoRedefine/>
    <w:pPr>
      <w:ind w:left="880" w:hanging="220"/>
    </w:pPr>
  </w:style>
  <w:style w:type="paragraph" w:styleId="Indeks5">
    <w:name w:val="index 5"/>
    <w:basedOn w:val="Normal"/>
    <w:next w:val="Normal"/>
    <w:autoRedefine/>
    <w:pPr>
      <w:ind w:left="1100" w:hanging="220"/>
    </w:pPr>
  </w:style>
  <w:style w:type="paragraph" w:styleId="Indeks6">
    <w:name w:val="index 6"/>
    <w:basedOn w:val="Normal"/>
    <w:next w:val="Normal"/>
    <w:autoRedefine/>
    <w:pPr>
      <w:ind w:left="1320" w:hanging="220"/>
    </w:pPr>
  </w:style>
  <w:style w:type="paragraph" w:styleId="Indeks7">
    <w:name w:val="index 7"/>
    <w:basedOn w:val="Normal"/>
    <w:next w:val="Normal"/>
    <w:autoRedefine/>
    <w:pPr>
      <w:ind w:left="1540" w:hanging="220"/>
    </w:pPr>
  </w:style>
  <w:style w:type="paragraph" w:styleId="Indeks8">
    <w:name w:val="index 8"/>
    <w:basedOn w:val="Normal"/>
    <w:next w:val="Normal"/>
    <w:autoRedefine/>
    <w:pPr>
      <w:ind w:left="1760" w:hanging="220"/>
    </w:pPr>
  </w:style>
  <w:style w:type="paragraph" w:styleId="Indeks9">
    <w:name w:val="index 9"/>
    <w:basedOn w:val="Normal"/>
    <w:next w:val="Normal"/>
    <w:autoRedefine/>
    <w:pPr>
      <w:ind w:left="1980" w:hanging="220"/>
    </w:pPr>
  </w:style>
  <w:style w:type="paragraph" w:styleId="Naslovindeksa">
    <w:name w:val="index heading"/>
    <w:basedOn w:val="Normal"/>
    <w:next w:val="Indeks1"/>
    <w:rPr>
      <w:rFonts w:ascii="Calibri Light" w:hAnsi="Calibri Light" w:cs="Calibri Light"/>
      <w:b/>
      <w:bCs/>
    </w:rPr>
  </w:style>
  <w:style w:type="paragraph" w:styleId="Zavretak">
    <w:name w:val="Closing"/>
    <w:basedOn w:val="Normal"/>
    <w:pPr>
      <w:ind w:left="4320"/>
    </w:pPr>
  </w:style>
  <w:style w:type="character" w:customStyle="1" w:styleId="ZavretakChar">
    <w:name w:val="Završetak Char"/>
    <w:basedOn w:val="Zadanifontodlomka"/>
    <w:rPr>
      <w:rFonts w:ascii="Calibri" w:hAnsi="Calibri" w:cs="Calibri"/>
    </w:rPr>
  </w:style>
  <w:style w:type="character" w:styleId="Referencafusnote">
    <w:name w:val="footnote reference"/>
    <w:basedOn w:val="Zadanifontodlomka"/>
    <w:rPr>
      <w:rFonts w:ascii="Calibri" w:hAnsi="Calibri" w:cs="Calibri"/>
      <w:position w:val="0"/>
      <w:vertAlign w:val="superscript"/>
    </w:rPr>
  </w:style>
  <w:style w:type="character" w:styleId="Brojretka">
    <w:name w:val="line number"/>
    <w:basedOn w:val="Zadanifontodlomka"/>
    <w:rPr>
      <w:rFonts w:ascii="Calibri" w:hAnsi="Calibri" w:cs="Calibri"/>
    </w:rPr>
  </w:style>
  <w:style w:type="character" w:styleId="Brojstranice">
    <w:name w:val="page number"/>
    <w:basedOn w:val="Zadanifontodlomka"/>
    <w:rPr>
      <w:rFonts w:ascii="Calibri" w:hAnsi="Calibri" w:cs="Calibri"/>
    </w:rPr>
  </w:style>
  <w:style w:type="character" w:customStyle="1" w:styleId="BezproredaChar">
    <w:name w:val="Bez proreda Char"/>
    <w:basedOn w:val="Zadanifontodlomka"/>
  </w:style>
  <w:style w:type="paragraph" w:customStyle="1" w:styleId="Stil1">
    <w:name w:val="Stil1"/>
    <w:basedOn w:val="Normal"/>
    <w:rPr>
      <w:sz w:val="96"/>
      <w:szCs w:val="96"/>
    </w:rPr>
  </w:style>
  <w:style w:type="character" w:customStyle="1" w:styleId="Stil1Char">
    <w:name w:val="Stil1 Char"/>
    <w:basedOn w:val="Zadanifontodlomka"/>
    <w:rPr>
      <w:sz w:val="96"/>
      <w:szCs w:val="96"/>
    </w:rPr>
  </w:style>
  <w:style w:type="numbering" w:customStyle="1" w:styleId="1111111">
    <w:name w:val="1 / 1.1 / 1.1.11"/>
    <w:basedOn w:val="Bezpopisa"/>
    <w:pPr>
      <w:numPr>
        <w:numId w:val="1"/>
      </w:numPr>
    </w:pPr>
  </w:style>
  <w:style w:type="numbering" w:customStyle="1" w:styleId="1ai1">
    <w:name w:val="1 / a / i1"/>
    <w:basedOn w:val="Bezpopisa"/>
    <w:pPr>
      <w:numPr>
        <w:numId w:val="2"/>
      </w:numPr>
    </w:pPr>
  </w:style>
  <w:style w:type="numbering" w:customStyle="1" w:styleId="lanaksekcija1">
    <w:name w:val="Članak / sekcija1"/>
    <w:basedOn w:val="Bezpopisa"/>
    <w:pPr>
      <w:numPr>
        <w:numId w:val="3"/>
      </w:numPr>
    </w:pPr>
  </w:style>
  <w:style w:type="numbering" w:customStyle="1" w:styleId="LFO1">
    <w:name w:val="LFO1"/>
    <w:basedOn w:val="Bezpopisa"/>
    <w:pPr>
      <w:numPr>
        <w:numId w:val="4"/>
      </w:numPr>
    </w:pPr>
  </w:style>
  <w:style w:type="numbering" w:customStyle="1" w:styleId="LFO2">
    <w:name w:val="LFO2"/>
    <w:basedOn w:val="Bezpopisa"/>
    <w:pPr>
      <w:numPr>
        <w:numId w:val="5"/>
      </w:numPr>
    </w:pPr>
  </w:style>
  <w:style w:type="numbering" w:customStyle="1" w:styleId="LFO3">
    <w:name w:val="LFO3"/>
    <w:basedOn w:val="Bezpopisa"/>
    <w:pPr>
      <w:numPr>
        <w:numId w:val="6"/>
      </w:numPr>
    </w:pPr>
  </w:style>
  <w:style w:type="numbering" w:customStyle="1" w:styleId="LFO4">
    <w:name w:val="LFO4"/>
    <w:basedOn w:val="Bezpopisa"/>
    <w:pPr>
      <w:numPr>
        <w:numId w:val="7"/>
      </w:numPr>
    </w:pPr>
  </w:style>
  <w:style w:type="numbering" w:customStyle="1" w:styleId="LFO5">
    <w:name w:val="LFO5"/>
    <w:basedOn w:val="Bezpopisa"/>
    <w:pPr>
      <w:numPr>
        <w:numId w:val="8"/>
      </w:numPr>
    </w:pPr>
  </w:style>
  <w:style w:type="numbering" w:customStyle="1" w:styleId="LFO6">
    <w:name w:val="LFO6"/>
    <w:basedOn w:val="Bezpopisa"/>
    <w:pPr>
      <w:numPr>
        <w:numId w:val="9"/>
      </w:numPr>
    </w:pPr>
  </w:style>
  <w:style w:type="numbering" w:customStyle="1" w:styleId="LFO7">
    <w:name w:val="LFO7"/>
    <w:basedOn w:val="Bezpopisa"/>
    <w:pPr>
      <w:numPr>
        <w:numId w:val="10"/>
      </w:numPr>
    </w:pPr>
  </w:style>
  <w:style w:type="numbering" w:customStyle="1" w:styleId="LFO8">
    <w:name w:val="LFO8"/>
    <w:basedOn w:val="Bezpopisa"/>
    <w:pPr>
      <w:numPr>
        <w:numId w:val="11"/>
      </w:numPr>
    </w:pPr>
  </w:style>
  <w:style w:type="numbering" w:customStyle="1" w:styleId="LFO9">
    <w:name w:val="LFO9"/>
    <w:basedOn w:val="Bezpopisa"/>
    <w:pPr>
      <w:numPr>
        <w:numId w:val="12"/>
      </w:numPr>
    </w:pPr>
  </w:style>
  <w:style w:type="numbering" w:customStyle="1" w:styleId="LFO10">
    <w:name w:val="LFO10"/>
    <w:basedOn w:val="Bezpopis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islav.barada\Desktop\Jednostruki%20prored%20(prazno)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image" Target="../media/image3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c:style val="2"/>
  <c:chart>
    <c:autoTitleDeleted val="1"/>
    <c:view3D>
      <c:rotX val="48"/>
      <c:rotY val="51"/>
      <c:rAngAx val="0"/>
      <c:perspective val="60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xMode val="edge"/>
          <c:yMode val="edge"/>
          <c:x val="0"/>
          <c:y val="0"/>
          <c:w val="1"/>
          <c:h val="1"/>
        </c:manualLayout>
      </c:layout>
      <c:pie3DChart>
        <c:varyColors val="1"/>
        <c:ser>
          <c:idx val="0"/>
          <c:order val="0"/>
          <c:tx>
            <c:v>Skup1</c:v>
          </c:tx>
          <c:explosion val="38"/>
          <c:dPt>
            <c:idx val="0"/>
            <c:bubble3D val="0"/>
            <c:spPr>
              <a:solidFill>
                <a:srgbClr val="5B9BD5"/>
              </a:solidFill>
              <a:ln>
                <a:noFill/>
              </a:ln>
              <a:effectLst>
                <a:outerShdw dir="16200000" algn="tl">
                  <a:srgbClr val="000000">
                    <a:alpha val="20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33C-43CA-AABF-C02F2B990BA3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>
                <a:noFill/>
              </a:ln>
              <a:effectLst>
                <a:outerShdw dir="16200000" algn="tl">
                  <a:srgbClr val="000000">
                    <a:alpha val="20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E33C-43CA-AABF-C02F2B990BA3}"/>
              </c:ext>
            </c:extLst>
          </c:dPt>
          <c:dPt>
            <c:idx val="2"/>
            <c:bubble3D val="0"/>
            <c:spPr>
              <a:solidFill>
                <a:srgbClr val="A5A5A5"/>
              </a:solidFill>
              <a:ln>
                <a:noFill/>
              </a:ln>
              <a:effectLst>
                <a:outerShdw dir="16200000" algn="tl">
                  <a:srgbClr val="000000">
                    <a:alpha val="20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33C-43CA-AABF-C02F2B990BA3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dir="16200000" algn="tl">
                  <a:srgbClr val="000000">
                    <a:alpha val="20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E33C-43CA-AABF-C02F2B990BA3}"/>
              </c:ext>
            </c:extLst>
          </c:dPt>
          <c:dLbls>
            <c:dLbl>
              <c:idx val="0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lang="hr-HR" sz="900" b="1" i="0" u="none" strike="noStrike" kern="1200" baseline="0">
                        <a:solidFill>
                          <a:sysClr val="windowText" lastClr="000000"/>
                        </a:solidFill>
                        <a:latin typeface="Calibri"/>
                      </a:defRPr>
                    </a:pPr>
                    <a:r>
                      <a:rPr lang="en-US" sz="900" b="1" i="0" u="none" strike="noStrike" kern="1200" cap="none" spc="0" baseline="0">
                        <a:solidFill>
                          <a:sysClr val="windowText" lastClr="000000"/>
                        </a:solidFill>
                        <a:uFillTx/>
                        <a:latin typeface="Calibri"/>
                      </a:rPr>
                      <a:t>45,09%</a:t>
                    </a:r>
                  </a:p>
                </c:rich>
              </c:tx>
              <c:numFmt formatCode="#.00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E33C-43CA-AABF-C02F2B990BA3}"/>
                </c:ext>
              </c:extLst>
            </c:dLbl>
            <c:dLbl>
              <c:idx val="1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lang="hr-HR" sz="900" b="1" i="0" u="none" strike="noStrike" kern="1200" baseline="0">
                        <a:solidFill>
                          <a:sysClr val="windowText" lastClr="000000"/>
                        </a:solidFill>
                        <a:latin typeface="Calibri"/>
                      </a:defRPr>
                    </a:pPr>
                    <a:r>
                      <a:rPr lang="en-US" sz="900" b="1" i="0" u="none" strike="noStrike" kern="1200" cap="none" spc="0" baseline="0">
                        <a:solidFill>
                          <a:sysClr val="windowText" lastClr="000000"/>
                        </a:solidFill>
                        <a:uFillTx/>
                        <a:latin typeface="Calibri"/>
                      </a:rPr>
                      <a:t>6,99%</a:t>
                    </a:r>
                  </a:p>
                </c:rich>
              </c:tx>
              <c:numFmt formatCode="#.00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2-E33C-43CA-AABF-C02F2B990BA3}"/>
                </c:ext>
              </c:extLst>
            </c:dLbl>
            <c:dLbl>
              <c:idx val="2"/>
              <c:tx>
                <c:rich>
                  <a:bodyPr lIns="0" tIns="0" rIns="0" bIns="0"/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lang="hr-HR" sz="900" b="1" i="0" u="none" strike="noStrike" kern="1200" baseline="0">
                        <a:solidFill>
                          <a:sysClr val="windowText" lastClr="000000"/>
                        </a:solidFill>
                        <a:latin typeface="Calibri"/>
                      </a:defRPr>
                    </a:pPr>
                    <a:r>
                      <a:rPr lang="en-US" sz="900" b="1" i="0" u="none" strike="noStrike" kern="1200" cap="none" spc="0" baseline="0">
                        <a:solidFill>
                          <a:sysClr val="windowText" lastClr="000000"/>
                        </a:solidFill>
                        <a:uFillTx/>
                        <a:latin typeface="Calibri"/>
                      </a:rPr>
                      <a:t>47,01 %</a:t>
                    </a:r>
                  </a:p>
                </c:rich>
              </c:tx>
              <c:numFmt formatCode="#.00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3594040968342644"/>
                      <c:h val="0.2084628485454836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33C-43CA-AABF-C02F2B990BA3}"/>
                </c:ext>
              </c:extLst>
            </c:dLbl>
            <c:dLbl>
              <c:idx val="3"/>
              <c:layout>
                <c:manualLayout>
                  <c:x val="-5.0829288797000931E-2"/>
                  <c:y val="7.1319413152890324E-2"/>
                </c:manualLayout>
              </c:layout>
              <c:tx>
                <c:rich>
                  <a:bodyPr wrap="square" lIns="0" tIns="0" rIns="0" bIns="0" anchor="ctr">
                    <a:spAutoFit/>
                  </a:bodyPr>
                  <a:lstStyle/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lang="hr-HR" sz="900" b="1" i="0" u="none" strike="noStrike" kern="1200" baseline="0">
                        <a:solidFill>
                          <a:sysClr val="windowText" lastClr="000000"/>
                        </a:solidFill>
                        <a:latin typeface="Calibri"/>
                      </a:defRPr>
                    </a:pPr>
                    <a:r>
                      <a:rPr lang="en-US" sz="900" b="1" i="0" u="none" strike="noStrike" kern="1200" cap="none" spc="0" baseline="0">
                        <a:solidFill>
                          <a:sysClr val="windowText" lastClr="000000"/>
                        </a:solidFill>
                        <a:uFillTx/>
                        <a:latin typeface="Calibri"/>
                      </a:rPr>
                      <a:t>0,91 %</a:t>
                    </a:r>
                  </a:p>
                  <a:p>
                    <a:pPr marL="0" marR="0" indent="0" algn="ctr" defTabSz="914400" fontAlgn="auto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tabLst/>
                      <a:defRPr lang="hr-HR" sz="900" b="1" i="0" u="none" strike="noStrike" kern="1200" baseline="0">
                        <a:solidFill>
                          <a:sysClr val="windowText" lastClr="000000"/>
                        </a:solidFill>
                        <a:latin typeface="Calibri"/>
                      </a:defRPr>
                    </a:pPr>
                    <a:endParaRPr lang="en-US" sz="900" b="1" i="0" u="none" strike="noStrike" kern="1200" cap="none" spc="0" baseline="0">
                      <a:solidFill>
                        <a:sysClr val="windowText" lastClr="000000"/>
                      </a:solidFill>
                      <a:uFillTx/>
                      <a:latin typeface="Calibri"/>
                    </a:endParaRPr>
                  </a:p>
                </c:rich>
              </c:tx>
              <c:numFmt formatCode="#.00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4-E33C-43CA-AABF-C02F2B990BA3}"/>
                </c:ext>
              </c:extLst>
            </c:dLbl>
            <c:numFmt formatCode="#.000%" sourceLinked="0"/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hr-HR" sz="900" b="1" i="0" u="none" strike="noStrike" kern="1200" baseline="0">
                    <a:solidFill>
                      <a:sysClr val="windowText" lastClr="000000"/>
                    </a:solidFill>
                    <a:latin typeface="Calibri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Lit>
              <c:ptCount val="4"/>
              <c:pt idx="0">
                <c:v>trošak plaća</c:v>
              </c:pt>
              <c:pt idx="1">
                <c:v>amortizacija</c:v>
              </c:pt>
              <c:pt idx="2">
                <c:v>trošak poslovanja</c:v>
              </c:pt>
              <c:pt idx="3">
                <c:v>bruto dobit</c:v>
              </c:pt>
            </c:strLit>
          </c:cat>
          <c:val>
            <c:numLit>
              <c:formatCode>General</c:formatCode>
              <c:ptCount val="4"/>
              <c:pt idx="0">
                <c:v>1948370.83</c:v>
              </c:pt>
              <c:pt idx="1">
                <c:v>345079.3</c:v>
              </c:pt>
              <c:pt idx="2">
                <c:v>2153361.5699999998</c:v>
              </c:pt>
              <c:pt idx="3">
                <c:v>124759.08</c:v>
              </c:pt>
            </c:numLit>
          </c:val>
          <c:extLst>
            <c:ext xmlns:c16="http://schemas.microsoft.com/office/drawing/2014/chart" uri="{C3380CC4-5D6E-409C-BE32-E72D297353CC}">
              <c16:uniqueId val="{00000000-E33C-43CA-AABF-C02F2B990B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b"/>
      <c:overlay val="0"/>
      <c:spPr>
        <a:solidFill>
          <a:srgbClr val="FFFFFF">
            <a:alpha val="78000"/>
          </a:srgbClr>
        </a:solidFill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hr-HR" sz="900" b="0" i="0" u="none" strike="noStrike" kern="1200" baseline="0">
              <a:solidFill>
                <a:srgbClr val="595959"/>
              </a:solidFill>
              <a:latin typeface="Calibri"/>
            </a:defRPr>
          </a:pPr>
          <a:endParaRPr lang="sr-Latn-RS"/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1"/>
      <a:tile/>
    </a:blipFill>
    <a:ln w="9528" cap="flat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hr-HR" sz="900" b="0" i="0" u="none" strike="noStrike" kern="1200" baseline="0">
          <a:solidFill>
            <a:srgbClr val="000000"/>
          </a:solidFill>
          <a:latin typeface="Calibri"/>
        </a:defRPr>
      </a:pPr>
      <a:endParaRPr lang="sr-Latn-R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DD148910EB04D8FB38DBFB3DE027B" ma:contentTypeVersion="6" ma:contentTypeDescription="Stvaranje novog dokumenta." ma:contentTypeScope="" ma:versionID="db158d80eeb19f0106d49a84e268acbd">
  <xsd:schema xmlns:xsd="http://www.w3.org/2001/XMLSchema" xmlns:xs="http://www.w3.org/2001/XMLSchema" xmlns:p="http://schemas.microsoft.com/office/2006/metadata/properties" xmlns:ns3="f8d6a312-8103-4968-904e-673f1f5c37dd" targetNamespace="http://schemas.microsoft.com/office/2006/metadata/properties" ma:root="true" ma:fieldsID="6c824a24500748767ee8ee576fc7cd49" ns3:_="">
    <xsd:import namespace="f8d6a312-8103-4968-904e-673f1f5c3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6a312-8103-4968-904e-673f1f5c3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d6a312-8103-4968-904e-673f1f5c37dd" xsi:nil="true"/>
  </documentManagement>
</p:properties>
</file>

<file path=customXml/itemProps1.xml><?xml version="1.0" encoding="utf-8"?>
<ds:datastoreItem xmlns:ds="http://schemas.openxmlformats.org/officeDocument/2006/customXml" ds:itemID="{CB4F6E79-51C7-4FCA-B762-F0E80C5B8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6a312-8103-4968-904e-673f1f5c3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6739C-0EB9-4426-977F-A1D7D851F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58039-9AC7-4950-B967-5E113595233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f8d6a312-8103-4968-904e-673f1f5c37d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Jednostruki prored (prazno).dotx</Template>
  <TotalTime>48</TotalTime>
  <Pages>21</Pages>
  <Words>5590</Words>
  <Characters>31869</Characters>
  <Application>Microsoft Office Word</Application>
  <DocSecurity>0</DocSecurity>
  <Lines>265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POSLOVNI PLAN</vt:lpstr>
    </vt:vector>
  </TitlesOfParts>
  <Company/>
  <LinksUpToDate>false</LinksUpToDate>
  <CharactersWithSpaces>37385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 PLAN</dc:title>
  <dc:subject>ZA 2025. GODINU</dc:subject>
  <dc:creator>Danijel Kukoč</dc:creator>
  <dc:description/>
  <cp:lastModifiedBy>tajnica tgh</cp:lastModifiedBy>
  <cp:revision>42</cp:revision>
  <cp:lastPrinted>2025-12-08T13:03:00Z</cp:lastPrinted>
  <dcterms:created xsi:type="dcterms:W3CDTF">2025-12-08T11:17:00Z</dcterms:created>
  <dcterms:modified xsi:type="dcterms:W3CDTF">2025-12-15T11:53:00Z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0x010100F59DD148910EB04D8FB38DBFB3DE027B</vt:lpwstr>
  </property>
</Properties>
</file>