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EF4FB" w14:textId="77777777" w:rsidR="004F43B2" w:rsidRPr="00E659DA" w:rsidRDefault="004F43B2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</w:p>
    <w:p w14:paraId="73E9C604" w14:textId="581F7FBA" w:rsidR="004F43B2" w:rsidRPr="00E659DA" w:rsidRDefault="008A32EC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  <w:r w:rsidRPr="00E8025F">
        <w:rPr>
          <w:rFonts w:ascii="Arial" w:hAnsi="Arial" w:cs="Arial"/>
          <w:noProof/>
          <w:sz w:val="18"/>
          <w:szCs w:val="18"/>
          <w:lang w:eastAsia="hr-HR"/>
        </w:rPr>
        <w:drawing>
          <wp:inline distT="0" distB="0" distL="0" distR="0" wp14:anchorId="39BF79D0" wp14:editId="036FF11E">
            <wp:extent cx="2280972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5455" cy="706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D1F1DA" w14:textId="77777777" w:rsidR="004F43B2" w:rsidRPr="00E659DA" w:rsidRDefault="004F43B2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</w:p>
    <w:p w14:paraId="4D87544D" w14:textId="77777777" w:rsidR="004F43B2" w:rsidRPr="00E659DA" w:rsidRDefault="004F43B2" w:rsidP="00E659DA">
      <w:pPr>
        <w:jc w:val="both"/>
        <w:rPr>
          <w:rFonts w:ascii="Arial" w:hAnsi="Arial" w:cs="Arial"/>
          <w:b/>
          <w:bCs/>
          <w:color w:val="4F81BD" w:themeColor="accent1"/>
          <w:sz w:val="48"/>
          <w:szCs w:val="48"/>
          <w:lang w:eastAsia="en-GB"/>
        </w:rPr>
      </w:pPr>
    </w:p>
    <w:p w14:paraId="05FEE83D" w14:textId="77777777" w:rsidR="004F43B2" w:rsidRPr="00EF5228" w:rsidRDefault="004F43B2" w:rsidP="00E659DA">
      <w:pPr>
        <w:jc w:val="both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</w:p>
    <w:p w14:paraId="2E5942AA" w14:textId="77777777" w:rsidR="004F43B2" w:rsidRPr="00EF5228" w:rsidRDefault="004F43B2" w:rsidP="00E659DA">
      <w:pPr>
        <w:jc w:val="both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</w:p>
    <w:p w14:paraId="48838966" w14:textId="0A29E93F" w:rsidR="004F43B2" w:rsidRPr="00EF5228" w:rsidRDefault="004F43B2" w:rsidP="00E659DA">
      <w:pPr>
        <w:jc w:val="center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  <w:r w:rsidRPr="00EF5228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IZVJEŠĆE O RADU za 202</w:t>
      </w:r>
      <w:r w:rsidR="00403917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5</w:t>
      </w:r>
      <w:r w:rsidRPr="00EF5228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. godinu</w:t>
      </w:r>
    </w:p>
    <w:p w14:paraId="793ADDDA" w14:textId="77777777" w:rsidR="004F43B2" w:rsidRPr="00EF5228" w:rsidRDefault="004F43B2" w:rsidP="00E659DA">
      <w:pPr>
        <w:jc w:val="center"/>
        <w:rPr>
          <w:rFonts w:ascii="Arial" w:hAnsi="Arial" w:cs="Arial"/>
          <w:b/>
          <w:bCs/>
          <w:color w:val="CC9900"/>
          <w:sz w:val="48"/>
          <w:szCs w:val="48"/>
          <w:lang w:eastAsia="en-GB"/>
        </w:rPr>
      </w:pPr>
      <w:r w:rsidRPr="00EF5228">
        <w:rPr>
          <w:rFonts w:ascii="Arial" w:hAnsi="Arial" w:cs="Arial"/>
          <w:b/>
          <w:bCs/>
          <w:color w:val="CC9900"/>
          <w:sz w:val="48"/>
          <w:szCs w:val="48"/>
          <w:lang w:eastAsia="en-GB"/>
        </w:rPr>
        <w:t>Trogir holding d.o.o.</w:t>
      </w:r>
    </w:p>
    <w:p w14:paraId="71A79D65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403BBED6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6F2BEDD4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61F27F80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6B59C922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2560196D" w14:textId="77777777" w:rsidR="004F43B2" w:rsidRPr="00EF5228" w:rsidRDefault="004F43B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18C63B21" w14:textId="77777777" w:rsidR="00717C62" w:rsidRDefault="00717C62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57846776" w14:textId="2E50EEEF" w:rsidR="00717C62" w:rsidRDefault="00CF71A5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  <w:r>
        <w:rPr>
          <w:rFonts w:ascii="Arial" w:hAnsi="Arial" w:cs="Arial"/>
          <w:color w:val="CC9900"/>
          <w:sz w:val="40"/>
          <w:szCs w:val="40"/>
        </w:rPr>
        <w:t>Lipanj</w:t>
      </w:r>
      <w:r w:rsidR="00112353" w:rsidRPr="00EF5228">
        <w:rPr>
          <w:rFonts w:ascii="Arial" w:hAnsi="Arial" w:cs="Arial"/>
          <w:color w:val="CC9900"/>
          <w:sz w:val="40"/>
          <w:szCs w:val="40"/>
        </w:rPr>
        <w:t>, 202</w:t>
      </w:r>
      <w:r w:rsidR="008E33DC">
        <w:rPr>
          <w:rFonts w:ascii="Arial" w:hAnsi="Arial" w:cs="Arial"/>
          <w:color w:val="CC9900"/>
          <w:sz w:val="40"/>
          <w:szCs w:val="40"/>
        </w:rPr>
        <w:t>6</w:t>
      </w:r>
      <w:r w:rsidR="00112353" w:rsidRPr="00EF5228">
        <w:rPr>
          <w:rFonts w:ascii="Arial" w:hAnsi="Arial" w:cs="Arial"/>
          <w:color w:val="CC9900"/>
          <w:sz w:val="40"/>
          <w:szCs w:val="40"/>
        </w:rPr>
        <w:t>.godine</w:t>
      </w:r>
    </w:p>
    <w:p w14:paraId="5CD253E0" w14:textId="77777777" w:rsidR="00BB502F" w:rsidRDefault="00BB502F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</w:p>
    <w:p w14:paraId="2221050A" w14:textId="6FEFC7D6" w:rsidR="00C341AB" w:rsidRPr="00EF5228" w:rsidRDefault="00C341AB" w:rsidP="00E659DA">
      <w:pPr>
        <w:jc w:val="both"/>
        <w:rPr>
          <w:rFonts w:ascii="Arial" w:hAnsi="Arial" w:cs="Arial"/>
          <w:color w:val="CC9900"/>
          <w:sz w:val="40"/>
          <w:szCs w:val="40"/>
        </w:rPr>
      </w:pPr>
      <w:r w:rsidRPr="00EF5228">
        <w:rPr>
          <w:rFonts w:ascii="Arial" w:hAnsi="Arial" w:cs="Arial"/>
          <w:color w:val="CC9900"/>
          <w:sz w:val="40"/>
          <w:szCs w:val="40"/>
        </w:rPr>
        <w:lastRenderedPageBreak/>
        <w:t>INFORMACIJE O DRUŠTVU</w:t>
      </w:r>
    </w:p>
    <w:p w14:paraId="78D85C66" w14:textId="4697DF58" w:rsidR="002F030E" w:rsidRPr="00717C62" w:rsidRDefault="002F030E" w:rsidP="002F030E">
      <w:pPr>
        <w:rPr>
          <w:rFonts w:cstheme="minorHAnsi"/>
          <w:b/>
          <w:color w:val="000000"/>
          <w:u w:val="single"/>
        </w:rPr>
      </w:pPr>
      <w:r w:rsidRPr="00717C62">
        <w:rPr>
          <w:rFonts w:cstheme="minorHAnsi"/>
          <w:b/>
          <w:color w:val="000000"/>
          <w:u w:val="single"/>
        </w:rPr>
        <w:t xml:space="preserve">Opći podaci o društvu </w:t>
      </w:r>
    </w:p>
    <w:p w14:paraId="650E840A" w14:textId="77777777" w:rsidR="002F030E" w:rsidRPr="00717C62" w:rsidRDefault="002F030E" w:rsidP="002F030E">
      <w:pPr>
        <w:jc w:val="both"/>
        <w:rPr>
          <w:rFonts w:cstheme="minorHAnsi"/>
          <w:b/>
          <w:color w:val="000000"/>
        </w:rPr>
      </w:pPr>
      <w:r w:rsidRPr="00717C62">
        <w:rPr>
          <w:rFonts w:cstheme="minorHAnsi"/>
          <w:b/>
          <w:color w:val="000000"/>
        </w:rPr>
        <w:t>Naziv društva: TROGIR HOLDING d.o.o.</w:t>
      </w:r>
    </w:p>
    <w:p w14:paraId="20615EB8" w14:textId="77777777" w:rsidR="002F030E" w:rsidRPr="00717C62" w:rsidRDefault="002F030E" w:rsidP="002F030E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Sjedište:</w:t>
      </w:r>
      <w:r w:rsidRPr="00717C62">
        <w:rPr>
          <w:rFonts w:cstheme="minorHAnsi"/>
        </w:rPr>
        <w:t xml:space="preserve"> Put Mulina 2, 21220 TROGIR</w:t>
      </w:r>
    </w:p>
    <w:p w14:paraId="68E25ED0" w14:textId="77777777" w:rsidR="002F030E" w:rsidRPr="00717C62" w:rsidRDefault="002F030E" w:rsidP="002F030E">
      <w:pPr>
        <w:ind w:left="2410" w:hanging="2410"/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Osnovna djelatnost</w:t>
      </w:r>
      <w:r w:rsidRPr="00717C62">
        <w:rPr>
          <w:rFonts w:cstheme="minorHAnsi"/>
          <w:color w:val="000000"/>
        </w:rPr>
        <w:t>: Osnovno čišćenje zgrada (NKD - 8121)</w:t>
      </w:r>
    </w:p>
    <w:p w14:paraId="235DA204" w14:textId="202843BB" w:rsidR="002F030E" w:rsidRPr="00D35F6B" w:rsidRDefault="002F030E" w:rsidP="002F030E">
      <w:pPr>
        <w:spacing w:line="26" w:lineRule="atLeast"/>
        <w:jc w:val="both"/>
        <w:rPr>
          <w:rFonts w:cstheme="minorHAnsi"/>
          <w:lang w:eastAsia="zh-CN"/>
        </w:rPr>
      </w:pPr>
      <w:r w:rsidRPr="00D35F6B">
        <w:rPr>
          <w:rFonts w:cstheme="minorHAnsi"/>
          <w:b/>
        </w:rPr>
        <w:t>Pravni status</w:t>
      </w:r>
      <w:r w:rsidRPr="00D35F6B">
        <w:rPr>
          <w:rFonts w:cstheme="minorHAnsi"/>
        </w:rPr>
        <w:t>: Društvo TROGIR HOLDING d.o.o. registrirano je 28. listopada 2009. godine pri Trgovačkom sudu u Splitu</w:t>
      </w:r>
      <w:r w:rsidRPr="00D35F6B">
        <w:rPr>
          <w:rFonts w:cstheme="minorHAnsi"/>
          <w:lang w:eastAsia="zh-CN"/>
        </w:rPr>
        <w:t xml:space="preserve"> pod poslovnim brojem </w:t>
      </w:r>
      <w:proofErr w:type="spellStart"/>
      <w:r w:rsidRPr="00D35F6B">
        <w:rPr>
          <w:rFonts w:cstheme="minorHAnsi"/>
          <w:lang w:eastAsia="zh-CN"/>
        </w:rPr>
        <w:t>Tt</w:t>
      </w:r>
      <w:proofErr w:type="spellEnd"/>
      <w:r w:rsidRPr="00D35F6B">
        <w:rPr>
          <w:rFonts w:cstheme="minorHAnsi"/>
          <w:lang w:eastAsia="zh-CN"/>
        </w:rPr>
        <w:t xml:space="preserve"> - 09/2419-2. U 2018. godini dogodila se izmjena u sudskom registru, a odnosila se na povećanje temeljnog kapitala ulaganjem dijela zadržane dobiti Društva, stoga je na dan 31. prosinca 2018. godine temeljni kapital iznosio </w:t>
      </w:r>
      <w:r w:rsidR="00BA4D19" w:rsidRPr="00D35F6B">
        <w:rPr>
          <w:rFonts w:cstheme="minorHAnsi"/>
          <w:lang w:eastAsia="zh-CN"/>
        </w:rPr>
        <w:t>491.074,39 eura</w:t>
      </w:r>
      <w:r w:rsidRPr="00D35F6B">
        <w:rPr>
          <w:rFonts w:cstheme="minorHAnsi"/>
          <w:lang w:eastAsia="zh-CN"/>
        </w:rPr>
        <w:t xml:space="preserve">. </w:t>
      </w:r>
    </w:p>
    <w:p w14:paraId="08B34C2B" w14:textId="5E6128D1" w:rsidR="005B0123" w:rsidRPr="00D35F6B" w:rsidRDefault="005B0123" w:rsidP="002F030E">
      <w:pPr>
        <w:spacing w:line="26" w:lineRule="atLeast"/>
        <w:jc w:val="both"/>
        <w:rPr>
          <w:rFonts w:cstheme="minorHAnsi"/>
          <w:lang w:eastAsia="zh-CN"/>
        </w:rPr>
      </w:pPr>
      <w:r w:rsidRPr="00D35F6B">
        <w:rPr>
          <w:rFonts w:cstheme="minorHAnsi"/>
          <w:lang w:eastAsia="zh-CN"/>
        </w:rPr>
        <w:t xml:space="preserve">Odlukom skupštine Društva od 9. studenog 2023. godine izmijenjen je Društveni ugovor od 30. rujna 2022., usklađen  je temeljni kapital  sa Zakonom o trgovačkim društvima, na način da je temeljni kapital u iznosu  </w:t>
      </w:r>
      <w:r w:rsidR="00684675" w:rsidRPr="00D35F6B">
        <w:rPr>
          <w:rFonts w:cstheme="minorHAnsi"/>
          <w:lang w:eastAsia="zh-CN"/>
        </w:rPr>
        <w:t xml:space="preserve">od  836.153,69 </w:t>
      </w:r>
      <w:r w:rsidR="00FC35B6" w:rsidRPr="00D35F6B">
        <w:rPr>
          <w:rFonts w:cstheme="minorHAnsi"/>
          <w:lang w:eastAsia="zh-CN"/>
        </w:rPr>
        <w:t>eura</w:t>
      </w:r>
      <w:r w:rsidR="00684675" w:rsidRPr="00D35F6B">
        <w:rPr>
          <w:rFonts w:cstheme="minorHAnsi"/>
          <w:lang w:eastAsia="zh-CN"/>
        </w:rPr>
        <w:t xml:space="preserve"> prema fiksnom tečaju konverzije, smanjen za iznos od 13,69 </w:t>
      </w:r>
      <w:r w:rsidR="00FC35B6" w:rsidRPr="00D35F6B">
        <w:rPr>
          <w:rFonts w:cstheme="minorHAnsi"/>
          <w:lang w:eastAsia="zh-CN"/>
        </w:rPr>
        <w:t>eura</w:t>
      </w:r>
      <w:r w:rsidR="00684675" w:rsidRPr="00D35F6B">
        <w:rPr>
          <w:rFonts w:cstheme="minorHAnsi"/>
          <w:lang w:eastAsia="zh-CN"/>
        </w:rPr>
        <w:t xml:space="preserve">, na iznos od 836.140,00 </w:t>
      </w:r>
      <w:r w:rsidR="00FC35B6" w:rsidRPr="00D35F6B">
        <w:rPr>
          <w:rFonts w:cstheme="minorHAnsi"/>
          <w:lang w:eastAsia="zh-CN"/>
        </w:rPr>
        <w:t>eura</w:t>
      </w:r>
      <w:r w:rsidR="00684675" w:rsidRPr="00D35F6B">
        <w:rPr>
          <w:rFonts w:cstheme="minorHAnsi"/>
          <w:lang w:eastAsia="zh-CN"/>
        </w:rPr>
        <w:t xml:space="preserve">. Iznos od 13,69 </w:t>
      </w:r>
      <w:r w:rsidR="00FC35B6" w:rsidRPr="00D35F6B">
        <w:rPr>
          <w:rFonts w:cstheme="minorHAnsi"/>
          <w:lang w:eastAsia="zh-CN"/>
        </w:rPr>
        <w:t>eura</w:t>
      </w:r>
      <w:r w:rsidR="00684675" w:rsidRPr="00D35F6B">
        <w:rPr>
          <w:rFonts w:cstheme="minorHAnsi"/>
          <w:lang w:eastAsia="zh-CN"/>
        </w:rPr>
        <w:t xml:space="preserve"> unosi se u rezerve kapitala Društva.</w:t>
      </w:r>
    </w:p>
    <w:p w14:paraId="59147E8D" w14:textId="350C3C04" w:rsidR="009B0B05" w:rsidRPr="007C3960" w:rsidRDefault="002F030E" w:rsidP="007C3960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 xml:space="preserve">Iznos temeljnog kapitala: </w:t>
      </w:r>
      <w:r w:rsidR="00684675">
        <w:rPr>
          <w:rFonts w:cstheme="minorHAnsi"/>
          <w:color w:val="000000"/>
        </w:rPr>
        <w:t xml:space="preserve">836.140,00 </w:t>
      </w:r>
      <w:r w:rsidR="00157CBC">
        <w:rPr>
          <w:rFonts w:cstheme="minorHAnsi"/>
          <w:color w:val="000000"/>
        </w:rPr>
        <w:t xml:space="preserve"> </w:t>
      </w:r>
      <w:r w:rsidR="00FC35B6">
        <w:rPr>
          <w:rFonts w:cstheme="minorHAnsi"/>
          <w:color w:val="000000"/>
        </w:rPr>
        <w:t>eura</w:t>
      </w:r>
      <w:r w:rsidR="00157CBC">
        <w:rPr>
          <w:rFonts w:cstheme="minorHAnsi"/>
          <w:color w:val="000000"/>
        </w:rPr>
        <w:t>.</w:t>
      </w:r>
    </w:p>
    <w:p w14:paraId="5264BD11" w14:textId="6BD4AD98" w:rsidR="002F030E" w:rsidRPr="00717C62" w:rsidRDefault="002F030E" w:rsidP="002F030E">
      <w:pPr>
        <w:tabs>
          <w:tab w:val="left" w:pos="2127"/>
        </w:tabs>
        <w:ind w:right="-142"/>
        <w:rPr>
          <w:rFonts w:cstheme="minorHAnsi"/>
          <w:b/>
          <w:color w:val="000000"/>
        </w:rPr>
      </w:pPr>
      <w:r w:rsidRPr="00717C62">
        <w:rPr>
          <w:rFonts w:cstheme="minorHAnsi"/>
          <w:b/>
          <w:color w:val="000000"/>
        </w:rPr>
        <w:t xml:space="preserve">Članovi društva: </w:t>
      </w:r>
    </w:p>
    <w:p w14:paraId="7DB61F6C" w14:textId="0FE14435" w:rsidR="002F030E" w:rsidRPr="00717C62" w:rsidRDefault="002F030E" w:rsidP="002F030E">
      <w:pPr>
        <w:numPr>
          <w:ilvl w:val="0"/>
          <w:numId w:val="27"/>
        </w:numPr>
        <w:tabs>
          <w:tab w:val="left" w:pos="0"/>
        </w:tabs>
        <w:suppressAutoHyphens/>
        <w:overflowPunct w:val="0"/>
        <w:autoSpaceDE w:val="0"/>
        <w:spacing w:after="0" w:line="240" w:lineRule="auto"/>
        <w:ind w:right="-142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Grad Trogir –</w:t>
      </w:r>
      <w:r w:rsidR="00FC35B6">
        <w:rPr>
          <w:rFonts w:cstheme="minorHAnsi"/>
          <w:color w:val="000000"/>
        </w:rPr>
        <w:t xml:space="preserve"> četiri nejednaka poslovna udjela ukupne nominalne vrijednosti 836.140,00 eura  </w:t>
      </w:r>
    </w:p>
    <w:p w14:paraId="690E22F4" w14:textId="77777777" w:rsidR="002F030E" w:rsidRDefault="002F030E" w:rsidP="002F030E">
      <w:pPr>
        <w:tabs>
          <w:tab w:val="left" w:pos="2127"/>
        </w:tabs>
        <w:ind w:right="-142"/>
        <w:rPr>
          <w:rFonts w:cstheme="minorHAnsi"/>
          <w:b/>
          <w:color w:val="000000"/>
        </w:rPr>
      </w:pPr>
    </w:p>
    <w:p w14:paraId="5E5FD4AA" w14:textId="77777777" w:rsidR="002F030E" w:rsidRPr="00717C62" w:rsidRDefault="002F030E" w:rsidP="002F030E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Uprava društva:</w:t>
      </w:r>
      <w:r w:rsidRPr="00717C62">
        <w:rPr>
          <w:rFonts w:cstheme="minorHAnsi"/>
          <w:color w:val="000000"/>
        </w:rPr>
        <w:t xml:space="preserve"> </w:t>
      </w:r>
      <w:r w:rsidRPr="00717C62">
        <w:rPr>
          <w:rFonts w:cstheme="minorHAnsi"/>
          <w:color w:val="000000"/>
        </w:rPr>
        <w:tab/>
        <w:t xml:space="preserve">Danijel Kukoč; dipl. </w:t>
      </w:r>
      <w:proofErr w:type="spellStart"/>
      <w:r w:rsidRPr="00717C62">
        <w:rPr>
          <w:rFonts w:cstheme="minorHAnsi"/>
          <w:color w:val="000000"/>
        </w:rPr>
        <w:t>iur</w:t>
      </w:r>
      <w:proofErr w:type="spellEnd"/>
      <w:r w:rsidRPr="00717C62">
        <w:rPr>
          <w:rFonts w:cstheme="minorHAnsi"/>
          <w:color w:val="000000"/>
        </w:rPr>
        <w:t xml:space="preserve">.; </w:t>
      </w:r>
      <w:proofErr w:type="spellStart"/>
      <w:r w:rsidRPr="00717C62">
        <w:rPr>
          <w:rFonts w:cstheme="minorHAnsi"/>
          <w:color w:val="000000"/>
        </w:rPr>
        <w:t>univ</w:t>
      </w:r>
      <w:proofErr w:type="spellEnd"/>
      <w:r w:rsidRPr="00717C62">
        <w:rPr>
          <w:rFonts w:cstheme="minorHAnsi"/>
          <w:color w:val="000000"/>
        </w:rPr>
        <w:t xml:space="preserve">. </w:t>
      </w:r>
      <w:proofErr w:type="spellStart"/>
      <w:r w:rsidRPr="00717C62">
        <w:rPr>
          <w:rFonts w:cstheme="minorHAnsi"/>
          <w:color w:val="000000"/>
        </w:rPr>
        <w:t>spec</w:t>
      </w:r>
      <w:proofErr w:type="spellEnd"/>
      <w:r w:rsidRPr="00717C62">
        <w:rPr>
          <w:rFonts w:cstheme="minorHAnsi"/>
          <w:color w:val="000000"/>
        </w:rPr>
        <w:t xml:space="preserve">. </w:t>
      </w:r>
      <w:proofErr w:type="spellStart"/>
      <w:r w:rsidRPr="00717C62">
        <w:rPr>
          <w:rFonts w:cstheme="minorHAnsi"/>
          <w:color w:val="000000"/>
        </w:rPr>
        <w:t>oec</w:t>
      </w:r>
      <w:proofErr w:type="spellEnd"/>
      <w:r w:rsidRPr="00717C62">
        <w:rPr>
          <w:rFonts w:cstheme="minorHAnsi"/>
          <w:color w:val="000000"/>
        </w:rPr>
        <w:t xml:space="preserve">. - predsjednik Uprave Društva </w:t>
      </w:r>
    </w:p>
    <w:p w14:paraId="6D019CE6" w14:textId="6075E05B" w:rsidR="00833C5B" w:rsidRPr="00833C5B" w:rsidRDefault="00FC35B6" w:rsidP="00833C5B">
      <w:pPr>
        <w:numPr>
          <w:ilvl w:val="0"/>
          <w:numId w:val="32"/>
        </w:numPr>
        <w:spacing w:after="0" w:line="240" w:lineRule="auto"/>
        <w:jc w:val="both"/>
        <w:rPr>
          <w:rFonts w:cstheme="minorHAnsi"/>
          <w:color w:val="000000"/>
        </w:rPr>
      </w:pPr>
      <w:r w:rsidRPr="00FC35B6">
        <w:rPr>
          <w:rFonts w:cstheme="minorHAnsi"/>
          <w:b/>
          <w:bCs/>
          <w:color w:val="000000"/>
        </w:rPr>
        <w:t xml:space="preserve">Nadzorni odbor: </w:t>
      </w:r>
    </w:p>
    <w:p w14:paraId="22D7FAD7" w14:textId="06B9FF75" w:rsidR="00833C5B" w:rsidRDefault="00833C5B" w:rsidP="00833C5B">
      <w:pPr>
        <w:spacing w:after="0"/>
        <w:ind w:left="708" w:firstLine="708"/>
        <w:rPr>
          <w:rFonts w:cstheme="minorHAnsi"/>
          <w:color w:val="000000"/>
        </w:rPr>
      </w:pPr>
      <w:r>
        <w:rPr>
          <w:rFonts w:cstheme="minorHAnsi"/>
          <w:b/>
          <w:bCs/>
          <w:color w:val="000000"/>
        </w:rPr>
        <w:t xml:space="preserve">                          - </w:t>
      </w:r>
      <w:r w:rsidRPr="00FC35B6">
        <w:rPr>
          <w:rFonts w:cstheme="minorHAnsi"/>
          <w:color w:val="000000"/>
        </w:rPr>
        <w:t xml:space="preserve">Ivan </w:t>
      </w:r>
      <w:proofErr w:type="spellStart"/>
      <w:r w:rsidRPr="00FC35B6">
        <w:rPr>
          <w:rFonts w:cstheme="minorHAnsi"/>
          <w:color w:val="000000"/>
        </w:rPr>
        <w:t>Emer</w:t>
      </w:r>
      <w:proofErr w:type="spellEnd"/>
      <w:r w:rsidRPr="00FC35B6">
        <w:rPr>
          <w:rFonts w:cstheme="minorHAnsi"/>
          <w:color w:val="000000"/>
        </w:rPr>
        <w:t xml:space="preserve"> - predsjednik Nadzornog odbora</w:t>
      </w:r>
    </w:p>
    <w:p w14:paraId="3CD90F51" w14:textId="4BC98C3C" w:rsidR="00833C5B" w:rsidRPr="00FC35B6" w:rsidRDefault="00833C5B" w:rsidP="00833C5B">
      <w:pPr>
        <w:numPr>
          <w:ilvl w:val="0"/>
          <w:numId w:val="32"/>
        </w:numPr>
        <w:spacing w:after="0"/>
        <w:jc w:val="center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- </w:t>
      </w:r>
      <w:r w:rsidRPr="00FC35B6">
        <w:rPr>
          <w:rFonts w:cstheme="minorHAnsi"/>
          <w:color w:val="000000"/>
        </w:rPr>
        <w:t>Denis Vukman - član Nadzornog odbora</w:t>
      </w:r>
    </w:p>
    <w:p w14:paraId="606C700C" w14:textId="637685CF" w:rsidR="00833C5B" w:rsidRDefault="00833C5B" w:rsidP="00833C5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 xml:space="preserve">                                                      - </w:t>
      </w:r>
      <w:r w:rsidRPr="00FC35B6">
        <w:rPr>
          <w:rFonts w:cstheme="minorHAnsi"/>
          <w:color w:val="000000"/>
        </w:rPr>
        <w:t>Sonja Brešan - član Nadzornog odbora</w:t>
      </w:r>
    </w:p>
    <w:p w14:paraId="0B0F1E3C" w14:textId="54C389BB" w:rsidR="008E33DC" w:rsidRDefault="008E33DC" w:rsidP="00833C5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- Sanja </w:t>
      </w:r>
      <w:r w:rsidR="00F52831">
        <w:rPr>
          <w:rFonts w:cstheme="minorHAnsi"/>
          <w:color w:val="000000"/>
        </w:rPr>
        <w:t>Zu</w:t>
      </w:r>
      <w:r>
        <w:rPr>
          <w:rFonts w:cstheme="minorHAnsi"/>
          <w:color w:val="000000"/>
        </w:rPr>
        <w:t>lim- član Nadzornog odbora</w:t>
      </w:r>
    </w:p>
    <w:p w14:paraId="3E5FFAAA" w14:textId="6D9BB86B" w:rsidR="008E33DC" w:rsidRDefault="008E33DC" w:rsidP="00833C5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-  Dalibor Babić- član Nadzornog odbora</w:t>
      </w:r>
    </w:p>
    <w:p w14:paraId="6837F2E9" w14:textId="7EE8D941" w:rsidR="008E33DC" w:rsidRPr="00FC35B6" w:rsidRDefault="008E33DC" w:rsidP="00833C5B">
      <w:pPr>
        <w:spacing w:after="0"/>
        <w:rPr>
          <w:rFonts w:cstheme="minorHAnsi"/>
          <w:color w:val="000000"/>
        </w:rPr>
      </w:pP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</w:r>
      <w:r>
        <w:rPr>
          <w:rFonts w:cstheme="minorHAnsi"/>
          <w:color w:val="000000"/>
        </w:rPr>
        <w:tab/>
        <w:t xml:space="preserve">            - Goran </w:t>
      </w:r>
      <w:proofErr w:type="spellStart"/>
      <w:r>
        <w:rPr>
          <w:rFonts w:cstheme="minorHAnsi"/>
          <w:color w:val="000000"/>
        </w:rPr>
        <w:t>Ćudina</w:t>
      </w:r>
      <w:proofErr w:type="spellEnd"/>
      <w:r>
        <w:rPr>
          <w:rFonts w:cstheme="minorHAnsi"/>
          <w:color w:val="000000"/>
        </w:rPr>
        <w:t xml:space="preserve"> – član Nadzornog odbora</w:t>
      </w:r>
    </w:p>
    <w:p w14:paraId="2D42F8D5" w14:textId="77777777" w:rsidR="002F030E" w:rsidRPr="00717C62" w:rsidRDefault="002F030E" w:rsidP="002F030E">
      <w:pPr>
        <w:tabs>
          <w:tab w:val="left" w:pos="709"/>
        </w:tabs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MBS</w:t>
      </w:r>
      <w:r w:rsidRPr="00717C62">
        <w:rPr>
          <w:rFonts w:cstheme="minorHAnsi"/>
          <w:color w:val="000000"/>
        </w:rPr>
        <w:t>:</w:t>
      </w:r>
      <w:r w:rsidRPr="00717C62">
        <w:rPr>
          <w:rFonts w:cstheme="minorHAnsi"/>
          <w:b/>
          <w:color w:val="000000"/>
        </w:rPr>
        <w:tab/>
      </w:r>
      <w:r w:rsidRPr="00717C62">
        <w:rPr>
          <w:rFonts w:cstheme="minorHAnsi"/>
          <w:color w:val="000000"/>
        </w:rPr>
        <w:t>060258020</w:t>
      </w:r>
    </w:p>
    <w:p w14:paraId="7D50D5CC" w14:textId="77777777" w:rsidR="002F030E" w:rsidRPr="00717C62" w:rsidRDefault="002F030E" w:rsidP="002F030E">
      <w:pPr>
        <w:tabs>
          <w:tab w:val="left" w:pos="709"/>
        </w:tabs>
        <w:jc w:val="both"/>
        <w:rPr>
          <w:rFonts w:cstheme="minorHAnsi"/>
          <w:b/>
          <w:color w:val="000000"/>
        </w:rPr>
      </w:pPr>
      <w:r w:rsidRPr="00717C62">
        <w:rPr>
          <w:rFonts w:cstheme="minorHAnsi"/>
          <w:b/>
          <w:color w:val="000000"/>
        </w:rPr>
        <w:t>OIB</w:t>
      </w:r>
      <w:r w:rsidRPr="00717C62">
        <w:rPr>
          <w:rFonts w:cstheme="minorHAnsi"/>
          <w:color w:val="000000"/>
        </w:rPr>
        <w:t xml:space="preserve">:   </w:t>
      </w:r>
      <w:r w:rsidRPr="00717C62">
        <w:rPr>
          <w:rFonts w:cstheme="minorHAnsi"/>
          <w:color w:val="000000"/>
        </w:rPr>
        <w:tab/>
        <w:t>09746817380</w:t>
      </w:r>
    </w:p>
    <w:p w14:paraId="6D31A2BD" w14:textId="77777777" w:rsidR="002F030E" w:rsidRPr="00717C62" w:rsidRDefault="002F030E" w:rsidP="002F030E">
      <w:pPr>
        <w:jc w:val="both"/>
        <w:rPr>
          <w:rFonts w:cstheme="minorHAnsi"/>
          <w:color w:val="FF0000"/>
        </w:rPr>
      </w:pPr>
      <w:r w:rsidRPr="00717C62">
        <w:rPr>
          <w:rFonts w:cstheme="minorHAnsi"/>
          <w:b/>
          <w:color w:val="000000"/>
        </w:rPr>
        <w:t>Šifra djelatnosti - NKD</w:t>
      </w:r>
      <w:r w:rsidRPr="00717C62">
        <w:rPr>
          <w:rFonts w:cstheme="minorHAnsi"/>
          <w:color w:val="000000"/>
        </w:rPr>
        <w:t xml:space="preserve">: </w:t>
      </w:r>
      <w:r w:rsidRPr="00717C62">
        <w:rPr>
          <w:rFonts w:cstheme="minorHAnsi"/>
        </w:rPr>
        <w:t>8121 - osnovno čišćenje zgrada</w:t>
      </w:r>
    </w:p>
    <w:p w14:paraId="596D91ED" w14:textId="77777777" w:rsidR="002F030E" w:rsidRPr="00717C62" w:rsidRDefault="002F030E" w:rsidP="002F030E">
      <w:pPr>
        <w:tabs>
          <w:tab w:val="left" w:pos="2268"/>
        </w:tabs>
        <w:jc w:val="both"/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>Depozitne institucije</w:t>
      </w:r>
      <w:r w:rsidRPr="00717C62">
        <w:rPr>
          <w:rFonts w:cstheme="minorHAnsi"/>
          <w:color w:val="000000"/>
        </w:rPr>
        <w:t>:</w:t>
      </w:r>
      <w:r w:rsidRPr="00717C62">
        <w:rPr>
          <w:rFonts w:cstheme="minorHAnsi"/>
          <w:color w:val="000000"/>
        </w:rPr>
        <w:tab/>
      </w:r>
    </w:p>
    <w:p w14:paraId="5B84120E" w14:textId="77777777" w:rsidR="002F030E" w:rsidRPr="00717C62" w:rsidRDefault="002F030E" w:rsidP="002F030E">
      <w:pPr>
        <w:numPr>
          <w:ilvl w:val="0"/>
          <w:numId w:val="25"/>
        </w:numPr>
        <w:tabs>
          <w:tab w:val="left" w:pos="-170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proofErr w:type="spellStart"/>
      <w:r w:rsidRPr="00717C62">
        <w:rPr>
          <w:rFonts w:cstheme="minorHAnsi"/>
          <w:color w:val="000000"/>
        </w:rPr>
        <w:t>Erste&amp;Steiermarkische</w:t>
      </w:r>
      <w:proofErr w:type="spellEnd"/>
      <w:r w:rsidRPr="00717C62">
        <w:rPr>
          <w:rFonts w:cstheme="minorHAnsi"/>
          <w:color w:val="000000"/>
        </w:rPr>
        <w:t xml:space="preserve"> Bank d.d. Rijeka (HR6724020061100633184)</w:t>
      </w:r>
    </w:p>
    <w:p w14:paraId="71C59EEC" w14:textId="77777777" w:rsidR="002F030E" w:rsidRPr="00717C62" w:rsidRDefault="002F030E" w:rsidP="002F030E">
      <w:pPr>
        <w:numPr>
          <w:ilvl w:val="0"/>
          <w:numId w:val="25"/>
        </w:numPr>
        <w:tabs>
          <w:tab w:val="left" w:pos="-1701"/>
        </w:tabs>
        <w:suppressAutoHyphens/>
        <w:overflowPunct w:val="0"/>
        <w:autoSpaceDE w:val="0"/>
        <w:spacing w:after="0" w:line="240" w:lineRule="auto"/>
        <w:jc w:val="both"/>
        <w:textAlignment w:val="baseline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t>Privredna banka Zagreb d.d. Zagreb (HR8623400091110492317)</w:t>
      </w:r>
    </w:p>
    <w:p w14:paraId="78B651A0" w14:textId="77777777" w:rsidR="00833C5B" w:rsidRDefault="00833C5B" w:rsidP="002F030E">
      <w:pPr>
        <w:tabs>
          <w:tab w:val="left" w:pos="-1701"/>
        </w:tabs>
        <w:rPr>
          <w:rFonts w:cstheme="minorHAnsi"/>
          <w:b/>
          <w:color w:val="000000"/>
        </w:rPr>
      </w:pPr>
    </w:p>
    <w:p w14:paraId="6E44D23F" w14:textId="12CA5F4A" w:rsidR="002F030E" w:rsidRPr="00717C62" w:rsidRDefault="002F030E" w:rsidP="002F030E">
      <w:pPr>
        <w:tabs>
          <w:tab w:val="left" w:pos="-1701"/>
        </w:tabs>
        <w:rPr>
          <w:rFonts w:cstheme="minorHAnsi"/>
          <w:color w:val="000000"/>
        </w:rPr>
      </w:pPr>
      <w:r w:rsidRPr="00717C62">
        <w:rPr>
          <w:rFonts w:cstheme="minorHAnsi"/>
          <w:b/>
          <w:color w:val="000000"/>
        </w:rPr>
        <w:t xml:space="preserve">Osnovne djelatnosti </w:t>
      </w:r>
      <w:r w:rsidRPr="00717C62">
        <w:rPr>
          <w:rFonts w:cstheme="minorHAnsi"/>
          <w:color w:val="000000"/>
        </w:rPr>
        <w:t xml:space="preserve">za koje je </w:t>
      </w:r>
      <w:r w:rsidRPr="00717C62">
        <w:rPr>
          <w:rFonts w:cstheme="minorHAnsi"/>
          <w:b/>
          <w:color w:val="000000"/>
        </w:rPr>
        <w:t>TROGIR HOLDING d.o.o</w:t>
      </w:r>
      <w:r w:rsidRPr="00717C62">
        <w:rPr>
          <w:rFonts w:cstheme="minorHAnsi"/>
          <w:color w:val="000000"/>
        </w:rPr>
        <w:t>. registriran jesu slijedeće:</w:t>
      </w:r>
    </w:p>
    <w:p w14:paraId="61429EF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opskrba pitkom vodom, odvodnja i pročišćavanje otpadnih voda</w:t>
      </w:r>
    </w:p>
    <w:p w14:paraId="53DA4386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lastRenderedPageBreak/>
        <w:t xml:space="preserve">održavanje čistoće, odlaganje komunalnog otpada, održavanje javnih površina i nerazvrstanih cesta </w:t>
      </w:r>
    </w:p>
    <w:p w14:paraId="775D4FEE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skupljanje i prijevoz otpada za potrebe drugih </w:t>
      </w:r>
    </w:p>
    <w:p w14:paraId="51D05F0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posredovanje u organiziranju oporabe i/ili zbrinjavanja otpada u ime drugih </w:t>
      </w:r>
    </w:p>
    <w:p w14:paraId="41D9D22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skupljanje, oporaba i/ili zbrinjavanje (obrada, odlaganje, spaljivanje i drugi načini zbrinjavanja otpada), odnosno djelatnost gospodarenja posebnim kategorijama otpada </w:t>
      </w:r>
    </w:p>
    <w:p w14:paraId="5C60EB40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uvoz i izvoz otpada </w:t>
      </w:r>
    </w:p>
    <w:p w14:paraId="0D2DED77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tržnice na malo </w:t>
      </w:r>
    </w:p>
    <w:p w14:paraId="35FBA15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javna rasvjeta, uslužne djelatnosti uređenja i održavanje krajolika </w:t>
      </w:r>
    </w:p>
    <w:p w14:paraId="11690F1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stručni poslovi prostornog uređenja </w:t>
      </w:r>
    </w:p>
    <w:p w14:paraId="0674138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upravljanje grobljem, održavanje groblja i krematorija, prijevoz pokojnika</w:t>
      </w:r>
    </w:p>
    <w:p w14:paraId="2E1E3B1F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održavanje i naplata parking prostora, premještanje vozila</w:t>
      </w:r>
    </w:p>
    <w:p w14:paraId="58CEF19F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upravljanje lukom i lučke djelatnosti</w:t>
      </w:r>
    </w:p>
    <w:p w14:paraId="1618470B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privez i odvez brodova, jahti, ribarskih, sportskih i drugih brodica i plutajućih objekata </w:t>
      </w:r>
    </w:p>
    <w:p w14:paraId="3C6A2226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djelatnost javnog informiranja, djelatnost radija i televizije, distribucija tiska</w:t>
      </w:r>
    </w:p>
    <w:p w14:paraId="4EACEBA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objavljivanje elektroničkih publikacija bez obzira na tehničke značajke medija na kojem su objavljene </w:t>
      </w:r>
    </w:p>
    <w:p w14:paraId="5AD8B244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djelatnost objavljivanja programskih sadržaja i programskih usluga </w:t>
      </w:r>
    </w:p>
    <w:p w14:paraId="463BC3A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proizvodnja, promet i javno prikazivanje audiovizualnih djela </w:t>
      </w:r>
    </w:p>
    <w:p w14:paraId="7DCEB00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kupnja i prodaja robe </w:t>
      </w:r>
    </w:p>
    <w:p w14:paraId="7D447AEC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prijevoz putnika u javnom prometu </w:t>
      </w:r>
    </w:p>
    <w:p w14:paraId="472CA359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prijevoz putnika i stvari unutarnjim vodnim putovima </w:t>
      </w:r>
    </w:p>
    <w:p w14:paraId="168371A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djelatnost javnog cestovnog prijevoza putnika i tereta u domaćem i međunarodnom prometu </w:t>
      </w:r>
    </w:p>
    <w:p w14:paraId="4BAC428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pružanje kolodvorskih usluga </w:t>
      </w:r>
    </w:p>
    <w:p w14:paraId="2A81F31D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računovodstveni poslovi </w:t>
      </w:r>
    </w:p>
    <w:p w14:paraId="56587BD9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športska priprema, rekreacija i poduka</w:t>
      </w:r>
    </w:p>
    <w:p w14:paraId="1B940548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poslovi upravljanja nekretninom i održavanje nekretnina </w:t>
      </w:r>
    </w:p>
    <w:p w14:paraId="189B5FA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računalne i srodne djelatnosti </w:t>
      </w:r>
    </w:p>
    <w:p w14:paraId="1BB0F12B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projektiranje, građenje, uporaba i uklanjanje građevina, nadzor nad gradnjom </w:t>
      </w:r>
    </w:p>
    <w:p w14:paraId="6E20C93F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upravljanje i održavanje športskom građevinom </w:t>
      </w:r>
    </w:p>
    <w:p w14:paraId="7AD572C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turističke usluge u nautičkom turizmu i ostalim oblicima turističke ponude </w:t>
      </w:r>
    </w:p>
    <w:p w14:paraId="69A1A7C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 xml:space="preserve">turističke usluge koje uključuju športsko-rekreativne ili pustolovne aktivnosti </w:t>
      </w:r>
    </w:p>
    <w:p w14:paraId="79AEECB0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obavljanje dimnjačarskih poslova</w:t>
      </w:r>
    </w:p>
    <w:p w14:paraId="46BB02E4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prijevoz za vlastite potrebe</w:t>
      </w:r>
    </w:p>
    <w:p w14:paraId="0F6AAE7C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tehnički pregledi vozila</w:t>
      </w:r>
    </w:p>
    <w:p w14:paraId="0AB493BB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poslovi organiziranja i jedinstvenog provođenja tehničkih pregleda vozila, organiziranja poslova registracije vozila u stanicama za tehničke preglede vozila i izdavanja pokusnih pločica kao javne ovlasti</w:t>
      </w:r>
    </w:p>
    <w:p w14:paraId="4C9427C0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održavanje i popravak motornih vozila i motocikala</w:t>
      </w:r>
    </w:p>
    <w:p w14:paraId="6AC5E124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tehničko održavanje vodnih putova</w:t>
      </w:r>
    </w:p>
    <w:p w14:paraId="445B0D9A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djelatnost nakladnika</w:t>
      </w:r>
    </w:p>
    <w:p w14:paraId="74259998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djelatnost privatne zaštite</w:t>
      </w:r>
    </w:p>
    <w:p w14:paraId="61825573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ostale turističke usluge</w:t>
      </w:r>
    </w:p>
    <w:p w14:paraId="6015191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promidžba (reklama i propaganda)</w:t>
      </w:r>
    </w:p>
    <w:p w14:paraId="24702195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cvjećarsko-aranžerske usluge</w:t>
      </w:r>
    </w:p>
    <w:p w14:paraId="7CC51AA1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izrada cvjetnih aranžmana od umjetnog i suhog cvijeća</w:t>
      </w:r>
    </w:p>
    <w:p w14:paraId="309B99F6" w14:textId="77777777" w:rsidR="002F030E" w:rsidRPr="00717C62" w:rsidRDefault="002F030E" w:rsidP="002F030E">
      <w:pPr>
        <w:pStyle w:val="Odlomakpopisa"/>
        <w:widowControl/>
        <w:numPr>
          <w:ilvl w:val="0"/>
          <w:numId w:val="26"/>
        </w:numPr>
        <w:autoSpaceDE/>
        <w:autoSpaceDN/>
        <w:contextualSpacing/>
        <w:jc w:val="both"/>
        <w:rPr>
          <w:rFonts w:asciiTheme="minorHAnsi" w:hAnsiTheme="minorHAnsi" w:cstheme="minorHAnsi"/>
          <w:lang w:eastAsia="hr-HR"/>
        </w:rPr>
      </w:pPr>
      <w:r w:rsidRPr="00717C62">
        <w:rPr>
          <w:rFonts w:asciiTheme="minorHAnsi" w:hAnsiTheme="minorHAnsi" w:cstheme="minorHAnsi"/>
          <w:lang w:eastAsia="hr-HR"/>
        </w:rPr>
        <w:t>blokiranje i deblokiranje autobusa, teretnih automobila, priključnih vozila i radnih strojeva na mjestima koja nisu namijenjena  za parkiranje tih vozila.</w:t>
      </w:r>
    </w:p>
    <w:p w14:paraId="5C6E356D" w14:textId="77777777" w:rsidR="002F030E" w:rsidRPr="00717C62" w:rsidRDefault="002F030E" w:rsidP="002F030E">
      <w:pPr>
        <w:jc w:val="both"/>
        <w:rPr>
          <w:rFonts w:cstheme="minorHAnsi"/>
          <w:color w:val="000000"/>
        </w:rPr>
      </w:pPr>
    </w:p>
    <w:p w14:paraId="6366BC91" w14:textId="77777777" w:rsidR="002F030E" w:rsidRPr="00717C62" w:rsidRDefault="002F030E" w:rsidP="005967D3">
      <w:pPr>
        <w:jc w:val="both"/>
        <w:rPr>
          <w:rFonts w:cstheme="minorHAnsi"/>
          <w:color w:val="000000"/>
        </w:rPr>
      </w:pPr>
      <w:r w:rsidRPr="00717C62">
        <w:rPr>
          <w:rFonts w:cstheme="minorHAnsi"/>
          <w:color w:val="000000"/>
        </w:rPr>
        <w:lastRenderedPageBreak/>
        <w:t xml:space="preserve">Prema odredbama Zakona o računovodstvu Društvo se smatra malim poduzetnikom. </w:t>
      </w:r>
    </w:p>
    <w:p w14:paraId="40819A4F" w14:textId="44F7FBA7" w:rsidR="00C341AB" w:rsidRPr="00717C62" w:rsidRDefault="00C341AB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 xml:space="preserve">Društvo zastupa predsjednik uprave  pojedinačno i samostalno. </w:t>
      </w:r>
    </w:p>
    <w:p w14:paraId="00346F18" w14:textId="6B95A74F" w:rsidR="00C57F1A" w:rsidRPr="00717C62" w:rsidRDefault="00C57F1A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>Organizacijsku</w:t>
      </w:r>
      <w:r w:rsidRPr="00717C62">
        <w:rPr>
          <w:rFonts w:cstheme="minorHAnsi"/>
          <w:spacing w:val="9"/>
        </w:rPr>
        <w:t xml:space="preserve"> </w:t>
      </w:r>
      <w:r w:rsidRPr="00717C62">
        <w:rPr>
          <w:rFonts w:cstheme="minorHAnsi"/>
        </w:rPr>
        <w:t>strukturu</w:t>
      </w:r>
      <w:r w:rsidRPr="00717C62">
        <w:rPr>
          <w:rFonts w:cstheme="minorHAnsi"/>
          <w:spacing w:val="9"/>
        </w:rPr>
        <w:t xml:space="preserve"> </w:t>
      </w:r>
      <w:r w:rsidRPr="00717C62">
        <w:rPr>
          <w:rFonts w:cstheme="minorHAnsi"/>
        </w:rPr>
        <w:t>trgovačkog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društva</w:t>
      </w:r>
      <w:r w:rsidRPr="00717C62">
        <w:rPr>
          <w:rFonts w:cstheme="minorHAnsi"/>
          <w:spacing w:val="7"/>
        </w:rPr>
        <w:t xml:space="preserve"> </w:t>
      </w:r>
      <w:r w:rsidRPr="00717C62">
        <w:rPr>
          <w:rFonts w:cstheme="minorHAnsi"/>
        </w:rPr>
        <w:t>Trogir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Holding</w:t>
      </w:r>
      <w:r w:rsidRPr="00717C62">
        <w:rPr>
          <w:rFonts w:cstheme="minorHAnsi"/>
          <w:spacing w:val="8"/>
        </w:rPr>
        <w:t xml:space="preserve"> </w:t>
      </w:r>
      <w:r w:rsidRPr="00717C62">
        <w:rPr>
          <w:rFonts w:cstheme="minorHAnsi"/>
        </w:rPr>
        <w:t>d.o.o.</w:t>
      </w:r>
      <w:r w:rsidRPr="00717C62">
        <w:rPr>
          <w:rFonts w:cstheme="minorHAnsi"/>
          <w:spacing w:val="8"/>
        </w:rPr>
        <w:t xml:space="preserve"> </w:t>
      </w:r>
      <w:r w:rsidRPr="00717C62">
        <w:rPr>
          <w:rFonts w:cstheme="minorHAnsi"/>
        </w:rPr>
        <w:t>čine</w:t>
      </w:r>
      <w:r w:rsidRPr="00717C62">
        <w:rPr>
          <w:rFonts w:cstheme="minorHAnsi"/>
          <w:spacing w:val="8"/>
        </w:rPr>
        <w:t xml:space="preserve"> </w:t>
      </w:r>
      <w:r w:rsidRPr="00717C62">
        <w:rPr>
          <w:rFonts w:cstheme="minorHAnsi"/>
        </w:rPr>
        <w:t>4</w:t>
      </w:r>
      <w:r w:rsidRPr="00717C62">
        <w:rPr>
          <w:rFonts w:cstheme="minorHAnsi"/>
          <w:spacing w:val="10"/>
        </w:rPr>
        <w:t xml:space="preserve"> </w:t>
      </w:r>
      <w:r w:rsidRPr="00717C62">
        <w:rPr>
          <w:rFonts w:cstheme="minorHAnsi"/>
        </w:rPr>
        <w:t>povezana</w:t>
      </w:r>
      <w:r w:rsidR="00EF6CDB" w:rsidRPr="00717C62">
        <w:rPr>
          <w:rFonts w:cstheme="minorHAnsi"/>
        </w:rPr>
        <w:t xml:space="preserve"> </w:t>
      </w:r>
      <w:r w:rsidRPr="00717C62">
        <w:rPr>
          <w:rFonts w:cstheme="minorHAnsi"/>
          <w:spacing w:val="-47"/>
        </w:rPr>
        <w:t xml:space="preserve"> </w:t>
      </w:r>
      <w:r w:rsidRPr="00717C62">
        <w:rPr>
          <w:rFonts w:cstheme="minorHAnsi"/>
        </w:rPr>
        <w:t>sektora.</w:t>
      </w:r>
    </w:p>
    <w:p w14:paraId="2DD2F260" w14:textId="46C27AC7" w:rsidR="00EA4B5E" w:rsidRPr="00717C62" w:rsidRDefault="00C57F1A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>Sektori su koncipirani po načelu srodnosti grupe poslova sukladno sadržaju poslova koji se obavljaju.</w:t>
      </w:r>
      <w:r w:rsidRPr="00717C62">
        <w:rPr>
          <w:rFonts w:cstheme="minorHAnsi"/>
          <w:spacing w:val="-47"/>
        </w:rPr>
        <w:t xml:space="preserve"> </w:t>
      </w:r>
      <w:r w:rsidR="00C43173" w:rsidRPr="00717C62">
        <w:rPr>
          <w:rFonts w:cstheme="minorHAnsi"/>
        </w:rPr>
        <w:t>Z</w:t>
      </w:r>
      <w:r w:rsidRPr="00717C62">
        <w:rPr>
          <w:rFonts w:cstheme="minorHAnsi"/>
        </w:rPr>
        <w:t>aposlenici</w:t>
      </w:r>
      <w:r w:rsidRPr="00717C62">
        <w:rPr>
          <w:rFonts w:cstheme="minorHAnsi"/>
          <w:spacing w:val="5"/>
        </w:rPr>
        <w:t xml:space="preserve"> </w:t>
      </w:r>
      <w:r w:rsidR="003D3DF1" w:rsidRPr="00717C62">
        <w:rPr>
          <w:rFonts w:cstheme="minorHAnsi"/>
          <w:spacing w:val="5"/>
        </w:rPr>
        <w:t xml:space="preserve">su </w:t>
      </w:r>
      <w:r w:rsidRPr="00717C62">
        <w:rPr>
          <w:rFonts w:cstheme="minorHAnsi"/>
        </w:rPr>
        <w:t>podijeljeni</w:t>
      </w:r>
      <w:r w:rsidRPr="00717C62">
        <w:rPr>
          <w:rFonts w:cstheme="minorHAnsi"/>
          <w:spacing w:val="7"/>
        </w:rPr>
        <w:t xml:space="preserve"> </w:t>
      </w:r>
      <w:r w:rsidRPr="00717C62">
        <w:rPr>
          <w:rFonts w:cstheme="minorHAnsi"/>
        </w:rPr>
        <w:t>u</w:t>
      </w:r>
      <w:r w:rsidRPr="00717C62">
        <w:rPr>
          <w:rFonts w:cstheme="minorHAnsi"/>
          <w:spacing w:val="7"/>
        </w:rPr>
        <w:t xml:space="preserve"> </w:t>
      </w:r>
      <w:r w:rsidRPr="00717C62">
        <w:rPr>
          <w:rFonts w:cstheme="minorHAnsi"/>
        </w:rPr>
        <w:t>četiri</w:t>
      </w:r>
      <w:r w:rsidRPr="00717C62">
        <w:rPr>
          <w:rFonts w:cstheme="minorHAnsi"/>
          <w:spacing w:val="4"/>
        </w:rPr>
        <w:t xml:space="preserve"> </w:t>
      </w:r>
      <w:r w:rsidRPr="00717C62">
        <w:rPr>
          <w:rFonts w:cstheme="minorHAnsi"/>
        </w:rPr>
        <w:t>sektora: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sektor</w:t>
      </w:r>
      <w:r w:rsidRPr="00717C62">
        <w:rPr>
          <w:rFonts w:cstheme="minorHAnsi"/>
          <w:spacing w:val="5"/>
        </w:rPr>
        <w:t xml:space="preserve"> </w:t>
      </w:r>
      <w:r w:rsidR="00CE44FC">
        <w:rPr>
          <w:rFonts w:cstheme="minorHAnsi"/>
        </w:rPr>
        <w:t>održavanja javnih površina</w:t>
      </w:r>
      <w:r w:rsidRPr="00717C62">
        <w:rPr>
          <w:rFonts w:cstheme="minorHAnsi"/>
        </w:rPr>
        <w:t>,</w:t>
      </w:r>
      <w:r w:rsidRPr="00717C62">
        <w:rPr>
          <w:rFonts w:cstheme="minorHAnsi"/>
          <w:spacing w:val="6"/>
        </w:rPr>
        <w:t xml:space="preserve"> </w:t>
      </w:r>
      <w:r w:rsidRPr="00717C62">
        <w:rPr>
          <w:rFonts w:cstheme="minorHAnsi"/>
        </w:rPr>
        <w:t>sektor</w:t>
      </w:r>
      <w:r w:rsidR="00590149" w:rsidRPr="00717C62">
        <w:rPr>
          <w:rFonts w:cstheme="minorHAnsi"/>
        </w:rPr>
        <w:t xml:space="preserve"> </w:t>
      </w:r>
      <w:r w:rsidR="00590149" w:rsidRPr="00717C62">
        <w:rPr>
          <w:rFonts w:cstheme="minorHAnsi"/>
          <w:spacing w:val="-47"/>
        </w:rPr>
        <w:t xml:space="preserve">  </w:t>
      </w:r>
      <w:r w:rsidRPr="00717C62">
        <w:rPr>
          <w:rFonts w:cstheme="minorHAnsi"/>
        </w:rPr>
        <w:t>zajedničkih</w:t>
      </w:r>
      <w:r w:rsidRPr="00717C62">
        <w:rPr>
          <w:rFonts w:cstheme="minorHAnsi"/>
          <w:spacing w:val="-2"/>
        </w:rPr>
        <w:t xml:space="preserve"> </w:t>
      </w:r>
      <w:r w:rsidRPr="00717C62">
        <w:rPr>
          <w:rFonts w:cstheme="minorHAnsi"/>
        </w:rPr>
        <w:t>poslova, sektor</w:t>
      </w:r>
      <w:r w:rsidRPr="00717C62">
        <w:rPr>
          <w:rFonts w:cstheme="minorHAnsi"/>
          <w:spacing w:val="-3"/>
        </w:rPr>
        <w:t xml:space="preserve"> </w:t>
      </w:r>
      <w:r w:rsidRPr="00717C62">
        <w:rPr>
          <w:rFonts w:cstheme="minorHAnsi"/>
        </w:rPr>
        <w:t>komunalnih</w:t>
      </w:r>
      <w:r w:rsidRPr="00717C62">
        <w:rPr>
          <w:rFonts w:cstheme="minorHAnsi"/>
          <w:spacing w:val="-1"/>
        </w:rPr>
        <w:t xml:space="preserve"> </w:t>
      </w:r>
      <w:r w:rsidRPr="00717C62">
        <w:rPr>
          <w:rFonts w:cstheme="minorHAnsi"/>
        </w:rPr>
        <w:t>poslova</w:t>
      </w:r>
      <w:r w:rsidR="00590149" w:rsidRPr="00717C62">
        <w:rPr>
          <w:rFonts w:cstheme="minorHAnsi"/>
        </w:rPr>
        <w:t>,</w:t>
      </w:r>
      <w:r w:rsidRPr="00717C62">
        <w:rPr>
          <w:rFonts w:cstheme="minorHAnsi"/>
          <w:spacing w:val="-4"/>
        </w:rPr>
        <w:t xml:space="preserve"> </w:t>
      </w:r>
      <w:r w:rsidRPr="00717C62">
        <w:rPr>
          <w:rFonts w:cstheme="minorHAnsi"/>
        </w:rPr>
        <w:t>te</w:t>
      </w:r>
      <w:r w:rsidRPr="00717C62">
        <w:rPr>
          <w:rFonts w:cstheme="minorHAnsi"/>
          <w:spacing w:val="-2"/>
        </w:rPr>
        <w:t xml:space="preserve"> </w:t>
      </w:r>
      <w:r w:rsidRPr="00717C62">
        <w:rPr>
          <w:rFonts w:cstheme="minorHAnsi"/>
        </w:rPr>
        <w:t>sektor posebnih</w:t>
      </w:r>
      <w:r w:rsidRPr="00717C62">
        <w:rPr>
          <w:rFonts w:cstheme="minorHAnsi"/>
          <w:spacing w:val="-2"/>
        </w:rPr>
        <w:t xml:space="preserve"> </w:t>
      </w:r>
      <w:r w:rsidRPr="00717C62">
        <w:rPr>
          <w:rFonts w:cstheme="minorHAnsi"/>
        </w:rPr>
        <w:t>djelatnosti.</w:t>
      </w:r>
    </w:p>
    <w:p w14:paraId="34704661" w14:textId="787E1041" w:rsidR="00B23AC7" w:rsidRPr="00717C62" w:rsidRDefault="00C57F1A" w:rsidP="005967D3">
      <w:pPr>
        <w:jc w:val="both"/>
        <w:rPr>
          <w:rFonts w:cstheme="minorHAnsi"/>
        </w:rPr>
      </w:pPr>
      <w:r w:rsidRPr="00717C62">
        <w:rPr>
          <w:rFonts w:cstheme="minorHAnsi"/>
        </w:rPr>
        <w:t xml:space="preserve">Ukupan rad Društva organiziran je kroz </w:t>
      </w:r>
      <w:r w:rsidR="003D3DF1" w:rsidRPr="00717C62">
        <w:rPr>
          <w:rFonts w:cstheme="minorHAnsi"/>
        </w:rPr>
        <w:t>s</w:t>
      </w:r>
      <w:r w:rsidRPr="00717C62">
        <w:rPr>
          <w:rFonts w:cstheme="minorHAnsi"/>
        </w:rPr>
        <w:t xml:space="preserve">ektore unutar kojih su organizirane </w:t>
      </w:r>
      <w:r w:rsidR="00590149" w:rsidRPr="00717C62">
        <w:rPr>
          <w:rFonts w:cstheme="minorHAnsi"/>
        </w:rPr>
        <w:t>r</w:t>
      </w:r>
      <w:r w:rsidRPr="00717C62">
        <w:rPr>
          <w:rFonts w:cstheme="minorHAnsi"/>
        </w:rPr>
        <w:t xml:space="preserve">adne jedinice i </w:t>
      </w:r>
      <w:r w:rsidR="00590149" w:rsidRPr="00717C62">
        <w:rPr>
          <w:rFonts w:cstheme="minorHAnsi"/>
        </w:rPr>
        <w:t>o</w:t>
      </w:r>
      <w:r w:rsidRPr="00717C62">
        <w:rPr>
          <w:rFonts w:cstheme="minorHAnsi"/>
        </w:rPr>
        <w:t>djeli</w:t>
      </w:r>
      <w:r w:rsidR="00B23AC7" w:rsidRPr="00717C62">
        <w:rPr>
          <w:rFonts w:cstheme="minorHAnsi"/>
        </w:rPr>
        <w:t xml:space="preserve">, </w:t>
      </w:r>
      <w:r w:rsidR="00344C39" w:rsidRPr="00717C62">
        <w:rPr>
          <w:rFonts w:cstheme="minorHAnsi"/>
        </w:rPr>
        <w:t>dok je</w:t>
      </w:r>
      <w:r w:rsidR="00B23AC7" w:rsidRPr="00717C62">
        <w:rPr>
          <w:rFonts w:cstheme="minorHAnsi"/>
          <w:spacing w:val="-2"/>
        </w:rPr>
        <w:t xml:space="preserve"> </w:t>
      </w:r>
      <w:r w:rsidR="00B23AC7" w:rsidRPr="00717C62">
        <w:rPr>
          <w:rFonts w:cstheme="minorHAnsi"/>
        </w:rPr>
        <w:t>detaljnij</w:t>
      </w:r>
      <w:r w:rsidR="00344C39" w:rsidRPr="00717C62">
        <w:rPr>
          <w:rFonts w:cstheme="minorHAnsi"/>
        </w:rPr>
        <w:t>e</w:t>
      </w:r>
      <w:r w:rsidR="00B23AC7" w:rsidRPr="00717C62">
        <w:rPr>
          <w:rFonts w:cstheme="minorHAnsi"/>
          <w:spacing w:val="-2"/>
        </w:rPr>
        <w:t xml:space="preserve"> </w:t>
      </w:r>
      <w:r w:rsidR="00B23AC7" w:rsidRPr="00717C62">
        <w:rPr>
          <w:rFonts w:cstheme="minorHAnsi"/>
        </w:rPr>
        <w:t>praćenj</w:t>
      </w:r>
      <w:r w:rsidR="00344C39" w:rsidRPr="00717C62">
        <w:rPr>
          <w:rFonts w:cstheme="minorHAnsi"/>
        </w:rPr>
        <w:t>e</w:t>
      </w:r>
      <w:r w:rsidR="00B23AC7" w:rsidRPr="00717C62">
        <w:rPr>
          <w:rFonts w:cstheme="minorHAnsi"/>
          <w:spacing w:val="-2"/>
        </w:rPr>
        <w:t xml:space="preserve"> </w:t>
      </w:r>
      <w:r w:rsidR="00B23AC7" w:rsidRPr="00717C62">
        <w:rPr>
          <w:rFonts w:cstheme="minorHAnsi"/>
        </w:rPr>
        <w:t>poslovanja</w:t>
      </w:r>
      <w:r w:rsidR="00B23AC7" w:rsidRPr="00717C62">
        <w:rPr>
          <w:rFonts w:cstheme="minorHAnsi"/>
          <w:spacing w:val="-1"/>
        </w:rPr>
        <w:t xml:space="preserve"> </w:t>
      </w:r>
      <w:r w:rsidR="00B23AC7" w:rsidRPr="00717C62">
        <w:rPr>
          <w:rFonts w:cstheme="minorHAnsi"/>
        </w:rPr>
        <w:t>definiran</w:t>
      </w:r>
      <w:r w:rsidR="00344C39" w:rsidRPr="00717C62">
        <w:rPr>
          <w:rFonts w:cstheme="minorHAnsi"/>
        </w:rPr>
        <w:t>o</w:t>
      </w:r>
      <w:r w:rsidR="00B23AC7" w:rsidRPr="00717C62">
        <w:rPr>
          <w:rFonts w:cstheme="minorHAnsi"/>
          <w:spacing w:val="-2"/>
        </w:rPr>
        <w:t xml:space="preserve"> </w:t>
      </w:r>
      <w:r w:rsidR="00344C39" w:rsidRPr="00717C62">
        <w:rPr>
          <w:rFonts w:cstheme="minorHAnsi"/>
        </w:rPr>
        <w:t xml:space="preserve">putem organizacijski formiranih </w:t>
      </w:r>
      <w:r w:rsidR="00B23AC7" w:rsidRPr="00717C62">
        <w:rPr>
          <w:rFonts w:cstheme="minorHAnsi"/>
        </w:rPr>
        <w:t>mjesta</w:t>
      </w:r>
      <w:r w:rsidR="00B23AC7" w:rsidRPr="00717C62">
        <w:rPr>
          <w:rFonts w:cstheme="minorHAnsi"/>
          <w:spacing w:val="-1"/>
        </w:rPr>
        <w:t xml:space="preserve"> </w:t>
      </w:r>
      <w:r w:rsidR="00B23AC7" w:rsidRPr="00717C62">
        <w:rPr>
          <w:rFonts w:cstheme="minorHAnsi"/>
        </w:rPr>
        <w:t>troška.</w:t>
      </w:r>
    </w:p>
    <w:p w14:paraId="60A75241" w14:textId="0C5AACB3" w:rsidR="009601AE" w:rsidRPr="00717C62" w:rsidRDefault="00C114C4" w:rsidP="005967D3">
      <w:pPr>
        <w:jc w:val="both"/>
        <w:rPr>
          <w:rFonts w:cstheme="minorHAnsi"/>
        </w:rPr>
      </w:pPr>
      <w:r>
        <w:rPr>
          <w:rFonts w:cstheme="minorHAnsi"/>
        </w:rPr>
        <w:t xml:space="preserve">Organizacijska struktura Društva djelomično je izmijenjena donošenjem novog Pravilnika o </w:t>
      </w:r>
      <w:r w:rsidR="00F52831">
        <w:rPr>
          <w:rFonts w:cstheme="minorHAnsi"/>
        </w:rPr>
        <w:t>unutarnjem</w:t>
      </w:r>
      <w:r>
        <w:rPr>
          <w:rFonts w:cstheme="minorHAnsi"/>
        </w:rPr>
        <w:t xml:space="preserve"> ustrojstvu, organizaciji i  </w:t>
      </w:r>
      <w:r w:rsidR="00F52831">
        <w:rPr>
          <w:rFonts w:cstheme="minorHAnsi"/>
        </w:rPr>
        <w:t>sistematizaciji</w:t>
      </w:r>
      <w:r>
        <w:rPr>
          <w:rFonts w:cstheme="minorHAnsi"/>
        </w:rPr>
        <w:t xml:space="preserve"> radnih mjesta koja je stupila na snagu 01.01.2026. godine</w:t>
      </w:r>
    </w:p>
    <w:p w14:paraId="335E5BB8" w14:textId="77777777" w:rsidR="002E533F" w:rsidRPr="00D35F6B" w:rsidRDefault="002E533F" w:rsidP="002E533F">
      <w:pPr>
        <w:jc w:val="both"/>
        <w:rPr>
          <w:rFonts w:cstheme="minorHAnsi"/>
        </w:rPr>
      </w:pPr>
      <w:r w:rsidRPr="00D35F6B">
        <w:rPr>
          <w:rFonts w:cstheme="minorHAnsi"/>
        </w:rPr>
        <w:t>Na dan 31. prosinca 2025. godine Društvo je imalo 165 zaposlenih,  svrstani po stručnoj spremi i dobi u slijedećim tabelama:</w:t>
      </w:r>
    </w:p>
    <w:tbl>
      <w:tblPr>
        <w:tblW w:w="8819" w:type="dxa"/>
        <w:tblLook w:val="04A0" w:firstRow="1" w:lastRow="0" w:firstColumn="1" w:lastColumn="0" w:noHBand="0" w:noVBand="1"/>
      </w:tblPr>
      <w:tblGrid>
        <w:gridCol w:w="4385"/>
        <w:gridCol w:w="2723"/>
        <w:gridCol w:w="1711"/>
      </w:tblGrid>
      <w:tr w:rsidR="002E533F" w:rsidRPr="00D35F6B" w14:paraId="5B736222" w14:textId="77777777" w:rsidTr="00EC7687">
        <w:trPr>
          <w:trHeight w:val="280"/>
        </w:trPr>
        <w:tc>
          <w:tcPr>
            <w:tcW w:w="8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45F1771D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>ZAPOSLENI PO STRUČNOJ SPREMI</w:t>
            </w:r>
          </w:p>
        </w:tc>
      </w:tr>
      <w:tr w:rsidR="002E533F" w:rsidRPr="00D35F6B" w14:paraId="3456E898" w14:textId="77777777" w:rsidTr="00EC7687">
        <w:trPr>
          <w:trHeight w:val="29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7488A0F1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Stručna sprema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389341A6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Broj zaposlenih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44A6024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%</w:t>
            </w:r>
          </w:p>
        </w:tc>
      </w:tr>
      <w:tr w:rsidR="002E533F" w:rsidRPr="00D35F6B" w14:paraId="7E432B07" w14:textId="77777777" w:rsidTr="00EC7687">
        <w:trPr>
          <w:trHeight w:val="2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25ECCF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VISOKA STRUČNA SPREMA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FA6FA8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17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49A4B30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10,30%</w:t>
            </w:r>
          </w:p>
        </w:tc>
      </w:tr>
      <w:tr w:rsidR="002E533F" w:rsidRPr="00D35F6B" w14:paraId="7ED0FC8D" w14:textId="77777777" w:rsidTr="00EC7687">
        <w:trPr>
          <w:trHeight w:val="2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6AD64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VIŠA STRUČNA SPREMA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C6CD4A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CBE6262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6,67%</w:t>
            </w:r>
          </w:p>
        </w:tc>
      </w:tr>
      <w:tr w:rsidR="002E533F" w:rsidRPr="00D35F6B" w14:paraId="0B267E56" w14:textId="77777777" w:rsidTr="00EC7687">
        <w:trPr>
          <w:trHeight w:val="2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59AD8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SREDNJA STRUČNA SPREMA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C2206A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91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627B72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55,15%</w:t>
            </w:r>
          </w:p>
        </w:tc>
      </w:tr>
      <w:tr w:rsidR="002E533F" w:rsidRPr="00D35F6B" w14:paraId="3D8145B9" w14:textId="77777777" w:rsidTr="00EC7687">
        <w:trPr>
          <w:trHeight w:val="2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C96C60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KV RADNICI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4F957C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14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26A47E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8,4%</w:t>
            </w:r>
          </w:p>
        </w:tc>
      </w:tr>
      <w:tr w:rsidR="002E533F" w:rsidRPr="00D35F6B" w14:paraId="6D1F6C2A" w14:textId="77777777" w:rsidTr="00EC7687">
        <w:trPr>
          <w:trHeight w:val="280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5C9CC8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PKV I NKV RADNICI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F75E94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32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F416E6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19,39%</w:t>
            </w:r>
          </w:p>
        </w:tc>
      </w:tr>
      <w:tr w:rsidR="002E533F" w:rsidRPr="00D35F6B" w14:paraId="34C5A4A2" w14:textId="77777777" w:rsidTr="00EC7687">
        <w:trPr>
          <w:trHeight w:val="294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698575B3" w14:textId="77777777" w:rsidR="002E533F" w:rsidRPr="00D35F6B" w:rsidRDefault="002E533F" w:rsidP="00EC768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 xml:space="preserve">UKUPNO 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40014A57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>165</w:t>
            </w:r>
          </w:p>
        </w:tc>
        <w:tc>
          <w:tcPr>
            <w:tcW w:w="17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8DBE2E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>100,00%</w:t>
            </w:r>
          </w:p>
        </w:tc>
      </w:tr>
    </w:tbl>
    <w:p w14:paraId="1D499DFD" w14:textId="77777777" w:rsidR="002E533F" w:rsidRPr="00D35F6B" w:rsidRDefault="002E533F" w:rsidP="002E533F">
      <w:pPr>
        <w:spacing w:after="0"/>
        <w:jc w:val="both"/>
        <w:rPr>
          <w:rFonts w:cstheme="minorHAnsi"/>
        </w:rPr>
      </w:pPr>
    </w:p>
    <w:tbl>
      <w:tblPr>
        <w:tblW w:w="8819" w:type="dxa"/>
        <w:tblLook w:val="04A0" w:firstRow="1" w:lastRow="0" w:firstColumn="1" w:lastColumn="0" w:noHBand="0" w:noVBand="1"/>
      </w:tblPr>
      <w:tblGrid>
        <w:gridCol w:w="4385"/>
        <w:gridCol w:w="2693"/>
        <w:gridCol w:w="1741"/>
      </w:tblGrid>
      <w:tr w:rsidR="002E533F" w:rsidRPr="00D35F6B" w14:paraId="7ED1C3F9" w14:textId="77777777" w:rsidTr="00EC7687">
        <w:trPr>
          <w:trHeight w:val="303"/>
        </w:trPr>
        <w:tc>
          <w:tcPr>
            <w:tcW w:w="8819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14:paraId="2C3EC329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>ZAPOSLENI PO DOBI</w:t>
            </w:r>
          </w:p>
        </w:tc>
      </w:tr>
      <w:tr w:rsidR="002E533F" w:rsidRPr="00D35F6B" w14:paraId="178178A0" w14:textId="77777777" w:rsidTr="00EC7687">
        <w:trPr>
          <w:trHeight w:val="31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0581D9E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GODINE ŽIVOTA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5F752178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Broj zaposlenih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B91E817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%</w:t>
            </w:r>
          </w:p>
        </w:tc>
      </w:tr>
      <w:tr w:rsidR="002E533F" w:rsidRPr="00D35F6B" w14:paraId="3BC8D1BA" w14:textId="77777777" w:rsidTr="00EC7687">
        <w:trPr>
          <w:trHeight w:val="303"/>
        </w:trPr>
        <w:tc>
          <w:tcPr>
            <w:tcW w:w="43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FD436D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DO 30 GODINA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109A5D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6FEE5F5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2,42%</w:t>
            </w:r>
          </w:p>
        </w:tc>
      </w:tr>
      <w:tr w:rsidR="002E533F" w:rsidRPr="00D35F6B" w14:paraId="196AD245" w14:textId="77777777" w:rsidTr="00EC7687">
        <w:trPr>
          <w:trHeight w:val="30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2B1BA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31 DO 40 GODINA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08E84A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31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8C42FCD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18,79%</w:t>
            </w:r>
          </w:p>
        </w:tc>
      </w:tr>
      <w:tr w:rsidR="002E533F" w:rsidRPr="00D35F6B" w14:paraId="272D8A9D" w14:textId="77777777" w:rsidTr="00EC7687">
        <w:trPr>
          <w:trHeight w:val="30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117237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41 DO 50 GODINA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5776F4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54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07B59B6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32,73%</w:t>
            </w:r>
          </w:p>
        </w:tc>
      </w:tr>
      <w:tr w:rsidR="002E533F" w:rsidRPr="00D35F6B" w14:paraId="73327F5B" w14:textId="77777777" w:rsidTr="00EC7687">
        <w:trPr>
          <w:trHeight w:val="30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2B674E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51 DO 60 GODINA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6CCA4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62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88576FC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37,58%</w:t>
            </w:r>
          </w:p>
        </w:tc>
      </w:tr>
      <w:tr w:rsidR="002E533F" w:rsidRPr="00D35F6B" w14:paraId="2FA5BFD7" w14:textId="77777777" w:rsidTr="00EC7687">
        <w:trPr>
          <w:trHeight w:val="303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4CAFC8" w14:textId="77777777" w:rsidR="002E533F" w:rsidRPr="00D35F6B" w:rsidRDefault="002E533F" w:rsidP="00EC7687">
            <w:pPr>
              <w:spacing w:after="0" w:line="240" w:lineRule="auto"/>
              <w:jc w:val="both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Arial" w:cstheme="minorHAnsi"/>
                <w:lang w:eastAsia="hr-HR"/>
              </w:rPr>
              <w:t>61 DO 65 GODINA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70E2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14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F7773B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lang w:eastAsia="hr-HR"/>
              </w:rPr>
            </w:pPr>
            <w:r w:rsidRPr="00D35F6B">
              <w:rPr>
                <w:rFonts w:eastAsia="Times New Roman" w:cstheme="minorHAnsi"/>
                <w:lang w:eastAsia="hr-HR"/>
              </w:rPr>
              <w:t>8,48%</w:t>
            </w:r>
          </w:p>
        </w:tc>
      </w:tr>
      <w:tr w:rsidR="002E533F" w:rsidRPr="00D35F6B" w14:paraId="2A077C1C" w14:textId="77777777" w:rsidTr="00EC7687">
        <w:trPr>
          <w:trHeight w:val="318"/>
        </w:trPr>
        <w:tc>
          <w:tcPr>
            <w:tcW w:w="438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bottom"/>
            <w:hideMark/>
          </w:tcPr>
          <w:p w14:paraId="04BD77CC" w14:textId="77777777" w:rsidR="002E533F" w:rsidRPr="00D35F6B" w:rsidRDefault="002E533F" w:rsidP="00EC768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 xml:space="preserve">UKUPNO 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center"/>
            <w:hideMark/>
          </w:tcPr>
          <w:p w14:paraId="73A974AB" w14:textId="77777777" w:rsidR="002E533F" w:rsidRPr="00D35F6B" w:rsidRDefault="002E533F" w:rsidP="00EC7687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>165</w:t>
            </w:r>
          </w:p>
        </w:tc>
        <w:tc>
          <w:tcPr>
            <w:tcW w:w="17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6EDC0BA" w14:textId="77777777" w:rsidR="002E533F" w:rsidRPr="00D35F6B" w:rsidRDefault="002E533F" w:rsidP="00EC7687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D35F6B">
              <w:rPr>
                <w:rFonts w:eastAsia="Times New Roman" w:cstheme="minorHAnsi"/>
                <w:b/>
                <w:bCs/>
                <w:lang w:eastAsia="hr-HR"/>
              </w:rPr>
              <w:t>         100,00 %</w:t>
            </w:r>
          </w:p>
        </w:tc>
      </w:tr>
    </w:tbl>
    <w:p w14:paraId="7C30FE28" w14:textId="77777777" w:rsidR="002E533F" w:rsidRPr="00D35F6B" w:rsidRDefault="002E533F" w:rsidP="002E533F">
      <w:pPr>
        <w:jc w:val="both"/>
        <w:rPr>
          <w:rFonts w:cstheme="minorHAnsi"/>
        </w:rPr>
      </w:pPr>
    </w:p>
    <w:p w14:paraId="7E934960" w14:textId="77777777" w:rsidR="002E533F" w:rsidRPr="00D35F6B" w:rsidRDefault="002E533F" w:rsidP="002E533F">
      <w:pPr>
        <w:jc w:val="both"/>
        <w:rPr>
          <w:rFonts w:cstheme="minorHAnsi"/>
        </w:rPr>
      </w:pPr>
      <w:r w:rsidRPr="00D35F6B">
        <w:rPr>
          <w:rFonts w:cstheme="minorHAnsi"/>
        </w:rPr>
        <w:t xml:space="preserve">Kao što je iz priloženih tabela vidljivo najveći broj zaposlenih ima srednju stručnu spremu ( 55,15 %) i starosti iznad 40 godina ( 78,79 %). Struktura radnika je naslijeđena iz prethodnog razdoblja, a na tržištu rada postoji nedostatak  kvalificirane radne snage. Isto tako Trogir holding je zbog nemogućnosti zapošljavanja osposobljenih radnika za rad u komunalnoj djelatnosti </w:t>
      </w:r>
      <w:r>
        <w:rPr>
          <w:rFonts w:cstheme="minorHAnsi"/>
        </w:rPr>
        <w:t>u prethodnom razdoblju</w:t>
      </w:r>
      <w:r w:rsidRPr="00D35F6B">
        <w:rPr>
          <w:rFonts w:cstheme="minorHAnsi"/>
        </w:rPr>
        <w:t xml:space="preserve"> zapošljavao i strane radnike.</w:t>
      </w:r>
    </w:p>
    <w:p w14:paraId="1D9F19B5" w14:textId="77777777" w:rsidR="00717C62" w:rsidRDefault="00717C62" w:rsidP="005967D3">
      <w:pPr>
        <w:jc w:val="both"/>
        <w:rPr>
          <w:rFonts w:ascii="Arial" w:hAnsi="Arial" w:cs="Arial"/>
        </w:rPr>
      </w:pPr>
    </w:p>
    <w:p w14:paraId="1A88D5A7" w14:textId="77777777" w:rsidR="002E533F" w:rsidRDefault="002E533F" w:rsidP="005967D3">
      <w:pPr>
        <w:jc w:val="both"/>
        <w:rPr>
          <w:rFonts w:ascii="Arial" w:hAnsi="Arial" w:cs="Arial"/>
        </w:rPr>
      </w:pPr>
    </w:p>
    <w:p w14:paraId="5DA6D7F0" w14:textId="77777777" w:rsidR="007C3960" w:rsidRDefault="007C3960" w:rsidP="005967D3">
      <w:pPr>
        <w:jc w:val="both"/>
        <w:rPr>
          <w:rFonts w:ascii="Arial" w:hAnsi="Arial" w:cs="Arial"/>
        </w:rPr>
      </w:pPr>
    </w:p>
    <w:p w14:paraId="35063E26" w14:textId="3D5AF6CF" w:rsidR="00C114C4" w:rsidRPr="00132B34" w:rsidRDefault="00C114C4" w:rsidP="00C114C4">
      <w:pPr>
        <w:pStyle w:val="Zaglavlje"/>
        <w:jc w:val="center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lastRenderedPageBreak/>
        <w:t xml:space="preserve">IZVJEŠĆE O </w:t>
      </w:r>
      <w:r w:rsidR="00B85C4C">
        <w:rPr>
          <w:rFonts w:cstheme="minorHAnsi"/>
          <w:b/>
          <w:bCs/>
        </w:rPr>
        <w:t>OSTVARENIM</w:t>
      </w:r>
      <w:r w:rsidRPr="00132B34">
        <w:rPr>
          <w:rFonts w:cstheme="minorHAnsi"/>
          <w:b/>
          <w:bCs/>
        </w:rPr>
        <w:t xml:space="preserve"> KOMUNALNIM POSLOVIMA </w:t>
      </w:r>
    </w:p>
    <w:p w14:paraId="4B8B1816" w14:textId="77777777" w:rsidR="00C114C4" w:rsidRPr="00132B34" w:rsidRDefault="00C114C4" w:rsidP="00C114C4">
      <w:pPr>
        <w:pStyle w:val="Zaglavlje"/>
        <w:jc w:val="both"/>
        <w:rPr>
          <w:rFonts w:cstheme="minorHAnsi"/>
        </w:rPr>
      </w:pPr>
    </w:p>
    <w:p w14:paraId="3227ED7E" w14:textId="3DFC70DF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Izvješće o povjerenim komunalnim poslovima za 202</w:t>
      </w:r>
      <w:r>
        <w:rPr>
          <w:rFonts w:cstheme="minorHAnsi"/>
        </w:rPr>
        <w:t>5</w:t>
      </w:r>
      <w:r w:rsidRPr="00132B34">
        <w:rPr>
          <w:rFonts w:cstheme="minorHAnsi"/>
        </w:rPr>
        <w:t>. godinu</w:t>
      </w:r>
      <w:r w:rsidR="00F52831">
        <w:rPr>
          <w:rFonts w:cstheme="minorHAnsi"/>
        </w:rPr>
        <w:t xml:space="preserve"> </w:t>
      </w:r>
      <w:r w:rsidRPr="00132B34">
        <w:rPr>
          <w:rFonts w:cstheme="minorHAnsi"/>
        </w:rPr>
        <w:t>:</w:t>
      </w:r>
    </w:p>
    <w:p w14:paraId="40CECB06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584F6D42" w14:textId="1CCBC658" w:rsidR="00C114C4" w:rsidRPr="00132B34" w:rsidRDefault="00C114C4" w:rsidP="00C114C4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KOMUNALNI POSLOVI PREMA PROGRAMU RADA ZA 2025.G.</w:t>
      </w:r>
    </w:p>
    <w:p w14:paraId="7A1F7323" w14:textId="77777777" w:rsidR="00C114C4" w:rsidRPr="00132B34" w:rsidRDefault="00C114C4" w:rsidP="00C114C4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NAPLATA PARKIRANJA NA UREĐENIM JAVNIM POVRŠINAMA ZA 2025.G.</w:t>
      </w:r>
    </w:p>
    <w:p w14:paraId="2390F0B7" w14:textId="77777777" w:rsidR="00C114C4" w:rsidRPr="00132B34" w:rsidRDefault="00C114C4" w:rsidP="00C114C4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NAPLATA ZAKUPA PROSTORA NA TRŽNICI I RIBARNICI ZA 2025.G.</w:t>
      </w:r>
    </w:p>
    <w:p w14:paraId="0A6F5EA5" w14:textId="77777777" w:rsidR="00C114C4" w:rsidRPr="00132B34" w:rsidRDefault="00C114C4" w:rsidP="00C114C4">
      <w:pPr>
        <w:pStyle w:val="Bezproreda"/>
        <w:numPr>
          <w:ilvl w:val="0"/>
          <w:numId w:val="2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USLUGE UKOPA UNUTAR GROBLJA  ZA 2025.G.</w:t>
      </w:r>
    </w:p>
    <w:p w14:paraId="6D8EA253" w14:textId="77777777" w:rsidR="00C114C4" w:rsidRPr="00132B34" w:rsidRDefault="00C114C4" w:rsidP="00C114C4">
      <w:pPr>
        <w:pStyle w:val="Bezproreda"/>
        <w:ind w:left="1425"/>
        <w:jc w:val="both"/>
        <w:rPr>
          <w:rFonts w:cstheme="minorHAnsi"/>
          <w:b/>
          <w:bCs/>
        </w:rPr>
      </w:pPr>
    </w:p>
    <w:p w14:paraId="13F647CF" w14:textId="77777777" w:rsidR="00C114C4" w:rsidRPr="00132B34" w:rsidRDefault="00C114C4" w:rsidP="00C114C4">
      <w:pPr>
        <w:pStyle w:val="Bezproreda"/>
        <w:numPr>
          <w:ilvl w:val="0"/>
          <w:numId w:val="30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ODRŽAVANJE-KOMUNALNI POSLOVI PREMA PROGRAMU RADA ZA 2025.G.</w:t>
      </w:r>
    </w:p>
    <w:p w14:paraId="6A2D9B33" w14:textId="77777777" w:rsidR="00C114C4" w:rsidRPr="00132B34" w:rsidRDefault="00C114C4" w:rsidP="00C114C4">
      <w:pPr>
        <w:pStyle w:val="Bezproreda"/>
        <w:ind w:left="1361"/>
        <w:jc w:val="both"/>
        <w:rPr>
          <w:rFonts w:cstheme="minorHAnsi"/>
          <w:b/>
          <w:bCs/>
        </w:rPr>
      </w:pPr>
    </w:p>
    <w:p w14:paraId="72A7ECE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Trogir holding d.o.o. kao davatelj usluge je sa Gradom Trogirom potpisao Ugovor o održavanju komunalne infrastrukture i uređenog građevinskog zemljišta za 2025. godinu za pružanje slijedećih usluga prema programu rada:</w:t>
      </w:r>
    </w:p>
    <w:p w14:paraId="2F388A60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272155B9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javne rasvjete,</w:t>
      </w:r>
    </w:p>
    <w:p w14:paraId="44E273AC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groblja,</w:t>
      </w:r>
    </w:p>
    <w:p w14:paraId="3E7C62AE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javnih površina na kojima nije dopušten promet motorima vozilima,</w:t>
      </w:r>
    </w:p>
    <w:p w14:paraId="44E274D8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građevina javne odvodnje oborinskih voda,</w:t>
      </w:r>
    </w:p>
    <w:p w14:paraId="3EA94ED2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javnih zelenih površina,</w:t>
      </w:r>
    </w:p>
    <w:p w14:paraId="0041ABA7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građevina, uređaja i predmeta javne namjene,</w:t>
      </w:r>
    </w:p>
    <w:p w14:paraId="7262E594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Održavanje čistoće  javnih površina I</w:t>
      </w:r>
    </w:p>
    <w:p w14:paraId="570E5CA5" w14:textId="77777777" w:rsidR="00C114C4" w:rsidRPr="00132B34" w:rsidRDefault="00C114C4" w:rsidP="00C114C4">
      <w:pPr>
        <w:pStyle w:val="Bezprored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Prigodno ukrašavanje.</w:t>
      </w:r>
    </w:p>
    <w:p w14:paraId="5D05142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26E34A27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ODRŽAVANJE JAVNE RASVJETE</w:t>
      </w:r>
    </w:p>
    <w:p w14:paraId="78A08B2A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4207B1A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Prema Programu rada za 2025. godinu održavanje javne rasvjete obuhvatilo je redovito tekuće održavanje javne rasvjete: zamjenu žarulja, održavanje postojećih rasvjetnih tijela, uključujući dobavu materijala i popravak svjetiljki, zamjenu postojećih starih rasvjetnih tijela novim ekonomičnijim, održavanje čeličnih, brončanih i drvenih stupova, te zamjena drvenih sa čeličnim stupovima, zamjena i ugradnja zračnih i podzemnih kabela i dr. Za sve radove se vodio dnevnik rada sa opisom poslova i utrošenog materijala , a obračunavalo se prema postojećem cjeniku iz Programa rada za 2025. godinu. Predviđena vrijednost radova na održavanju javne rasvjete bila je 208.400,00 EUR, od čega se za redovno održavanje planira</w:t>
      </w:r>
      <w:r>
        <w:rPr>
          <w:rFonts w:cstheme="minorHAnsi"/>
        </w:rPr>
        <w:t>lo</w:t>
      </w:r>
      <w:r w:rsidRPr="00132B34">
        <w:rPr>
          <w:rFonts w:cstheme="minorHAnsi"/>
        </w:rPr>
        <w:t xml:space="preserve"> 120.00,00 EUR, za program „ I TEBE SE PITA“ 24.400,00 EUR , te na planiranu izgradnju nove rasvjete 64.000,00 EUR. Ukupno je  ostvareno 196.006,20  EUR odnosno  94,05 % od planiranog, što predstavlja povećanje za 51,77 %  u odnosu na 2024. godinu kada je ostvareno 129.147,74  EUR.</w:t>
      </w:r>
    </w:p>
    <w:p w14:paraId="3C376D5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356AB7B7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  <w:b/>
          <w:bCs/>
        </w:rPr>
        <w:t>ODRŽAVANJE GROBLJA</w:t>
      </w:r>
    </w:p>
    <w:p w14:paraId="5A16ACCA" w14:textId="77777777" w:rsidR="00C114C4" w:rsidRPr="00132B34" w:rsidRDefault="00C114C4" w:rsidP="00C114C4">
      <w:pPr>
        <w:pStyle w:val="Bezproreda"/>
        <w:ind w:left="720"/>
        <w:jc w:val="both"/>
        <w:rPr>
          <w:rFonts w:cstheme="minorHAnsi"/>
        </w:rPr>
      </w:pPr>
    </w:p>
    <w:p w14:paraId="32EF9BE6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Održavanje groblja podrazumijeva tekuće održavanje</w:t>
      </w:r>
      <w:r>
        <w:rPr>
          <w:rFonts w:cstheme="minorHAnsi"/>
        </w:rPr>
        <w:t xml:space="preserve"> gradskog groblja Trogir, gradskog groblja </w:t>
      </w:r>
      <w:proofErr w:type="spellStart"/>
      <w:r>
        <w:rPr>
          <w:rFonts w:cstheme="minorHAnsi"/>
        </w:rPr>
        <w:t>Arbanija</w:t>
      </w:r>
      <w:proofErr w:type="spellEnd"/>
      <w:r>
        <w:rPr>
          <w:rFonts w:cstheme="minorHAnsi"/>
        </w:rPr>
        <w:t>, gradskog groblja Žedno, gradskog groblja Drvenik Veliki i gradskog groblja Drvenik Mali.</w:t>
      </w:r>
      <w:r w:rsidRPr="00132B34">
        <w:rPr>
          <w:rFonts w:cstheme="minorHAnsi"/>
        </w:rPr>
        <w:t xml:space="preserve"> </w:t>
      </w:r>
      <w:r>
        <w:rPr>
          <w:rFonts w:cstheme="minorHAnsi"/>
        </w:rPr>
        <w:t xml:space="preserve">Pod održavanjem groblja podrazumijeva se održavanje </w:t>
      </w:r>
      <w:r w:rsidRPr="00132B34">
        <w:rPr>
          <w:rFonts w:cstheme="minorHAnsi"/>
        </w:rPr>
        <w:t>prostora i objekata na groblj</w:t>
      </w:r>
      <w:r>
        <w:rPr>
          <w:rFonts w:cstheme="minorHAnsi"/>
        </w:rPr>
        <w:t>ima</w:t>
      </w:r>
      <w:r w:rsidRPr="00132B34">
        <w:rPr>
          <w:rFonts w:cstheme="minorHAnsi"/>
        </w:rPr>
        <w:t>, te uređivanje putova, ogradnih zidova, zelenih i drugih površina unutar groblja.  Ukupna predviđena vrijednost radova bila je 79.094,29  EUR, a realizirano je 70.674,40 EUR .</w:t>
      </w:r>
    </w:p>
    <w:p w14:paraId="2D3C8A37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068F3AA6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ODRŽAVANJE JAVNIH POVRŠINA NA KOJIMA NIJE DOPUŠTEN PROMET MOTORNIM VOZILIMA</w:t>
      </w:r>
    </w:p>
    <w:p w14:paraId="3FC99D8A" w14:textId="77777777" w:rsidR="00C114C4" w:rsidRPr="00132B34" w:rsidRDefault="00C114C4" w:rsidP="00C114C4">
      <w:pPr>
        <w:pStyle w:val="Bezproreda"/>
        <w:jc w:val="both"/>
        <w:rPr>
          <w:rFonts w:cstheme="minorHAnsi"/>
          <w:b/>
          <w:bCs/>
        </w:rPr>
      </w:pPr>
    </w:p>
    <w:p w14:paraId="34AD898E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Davatelj usluga je tijekom 2025. godine obavljao usluge održavanja pješačkih staza , pješačkih zona, trgova, dječjih igrališta, plaža , parkova, popravak kamenih ploča na pločnicima i trgovima, postavka klupa i koševa na parkovima i plažama i dr.</w:t>
      </w:r>
    </w:p>
    <w:p w14:paraId="0082DEF0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lastRenderedPageBreak/>
        <w:t>Ukupna  predviđena vrijednost radova iznosila je  174.962,40  EUR od čega se za redovno održavanje planiralo 1</w:t>
      </w:r>
      <w:r>
        <w:rPr>
          <w:rFonts w:cstheme="minorHAnsi"/>
        </w:rPr>
        <w:t>5</w:t>
      </w:r>
      <w:r w:rsidRPr="00132B34">
        <w:rPr>
          <w:rFonts w:cstheme="minorHAnsi"/>
        </w:rPr>
        <w:t xml:space="preserve">5.162,40 EUR, a </w:t>
      </w:r>
      <w:r>
        <w:rPr>
          <w:rFonts w:cstheme="minorHAnsi"/>
        </w:rPr>
        <w:t>za  program</w:t>
      </w:r>
      <w:r w:rsidRPr="00132B34">
        <w:rPr>
          <w:rFonts w:cstheme="minorHAnsi"/>
        </w:rPr>
        <w:t xml:space="preserve"> „I TEBE  SE PITA“  19.800,00 EUR. Ukupno je ostvareno 169.736,61 EUR   ili 97,01 % od planiranog.</w:t>
      </w:r>
    </w:p>
    <w:p w14:paraId="37AF4234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598B9464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ODRŽAVANJE GRAĐEVINA JAVNE ODVODNJE OBORINSKIH KANALA</w:t>
      </w:r>
    </w:p>
    <w:p w14:paraId="5AC89AEA" w14:textId="77777777" w:rsidR="00C114C4" w:rsidRPr="00132B34" w:rsidRDefault="00C114C4" w:rsidP="00C114C4">
      <w:pPr>
        <w:pStyle w:val="Bezproreda"/>
        <w:ind w:left="720"/>
        <w:jc w:val="both"/>
        <w:rPr>
          <w:rFonts w:cstheme="minorHAnsi"/>
        </w:rPr>
      </w:pPr>
    </w:p>
    <w:p w14:paraId="5CEBF400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Davatelj usluge je tijekom 2025. godine redovito održavao građevine javne odvodnje oborinskih kanala na području Grada. Predviđena vrijednost radova prema Programu rada bila je 17.126,40 EUR a koja se sastoji od dva dijela:</w:t>
      </w:r>
    </w:p>
    <w:p w14:paraId="62FC7A8A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1. </w:t>
      </w:r>
      <w:r>
        <w:rPr>
          <w:rFonts w:cstheme="minorHAnsi"/>
        </w:rPr>
        <w:t>R</w:t>
      </w:r>
      <w:r w:rsidRPr="00132B34">
        <w:rPr>
          <w:rFonts w:cstheme="minorHAnsi"/>
        </w:rPr>
        <w:t xml:space="preserve">edovito  čišćenje izgrađenog oborinskog sustava 12.105,60 EUR  i </w:t>
      </w:r>
    </w:p>
    <w:p w14:paraId="0AF5F87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2. </w:t>
      </w:r>
      <w:r>
        <w:rPr>
          <w:rFonts w:cstheme="minorHAnsi"/>
        </w:rPr>
        <w:t>O</w:t>
      </w:r>
      <w:r w:rsidRPr="00132B34">
        <w:rPr>
          <w:rFonts w:cstheme="minorHAnsi"/>
        </w:rPr>
        <w:t>državanje otvorenih oborinskih kanala duž prometnica 5.020,80 EUR.</w:t>
      </w:r>
    </w:p>
    <w:p w14:paraId="1949E27F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Ukupno je ostvareno  17.123,20 EUR ili 99,98 % planiranog .</w:t>
      </w:r>
    </w:p>
    <w:p w14:paraId="4282DFE1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31D387FE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 xml:space="preserve">ODRŽAVANJE JAVNIH ZELENIH POVRŠINA </w:t>
      </w:r>
    </w:p>
    <w:p w14:paraId="1B14D92B" w14:textId="77777777" w:rsidR="00C114C4" w:rsidRPr="00132B34" w:rsidRDefault="00C114C4" w:rsidP="00C114C4">
      <w:pPr>
        <w:pStyle w:val="Bezproreda"/>
        <w:ind w:left="720"/>
        <w:jc w:val="both"/>
        <w:rPr>
          <w:rFonts w:cstheme="minorHAnsi"/>
        </w:rPr>
      </w:pPr>
    </w:p>
    <w:p w14:paraId="4267CC05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  <w:bCs/>
          <w:iCs/>
        </w:rPr>
        <w:t xml:space="preserve">U programu održavanja zelenih površina, kao najvećoj stavci programa, planiralo se dodatno povećati volumen sadnje stabala, grmova i sadnica cvijeća. Uređenje parkova i živice,  košnja trave se iz godine u godinu stalno poboljšava. Za 2025. g. </w:t>
      </w:r>
      <w:r>
        <w:rPr>
          <w:rFonts w:cstheme="minorHAnsi"/>
          <w:bCs/>
          <w:iCs/>
        </w:rPr>
        <w:t>p</w:t>
      </w:r>
      <w:r w:rsidRPr="00132B34">
        <w:rPr>
          <w:rFonts w:cstheme="minorHAnsi"/>
        </w:rPr>
        <w:t>redviđena ugovorena vrijednost usluge održavanja zelenih površina za 2025. godinu iznosila je 588.632,11 EUR (za redovno održavanje zelenih površina</w:t>
      </w:r>
      <w:r>
        <w:rPr>
          <w:rFonts w:cstheme="minorHAnsi"/>
        </w:rPr>
        <w:t xml:space="preserve"> </w:t>
      </w:r>
      <w:r w:rsidRPr="00132B34">
        <w:rPr>
          <w:rFonts w:cstheme="minorHAnsi"/>
        </w:rPr>
        <w:t xml:space="preserve">571.432,11 EUR, a za program „I TEBE SE PITA“ 17.200,00 EUR </w:t>
      </w:r>
      <w:r>
        <w:rPr>
          <w:rFonts w:cstheme="minorHAnsi"/>
        </w:rPr>
        <w:t>) .</w:t>
      </w:r>
      <w:r w:rsidRPr="00132B34">
        <w:rPr>
          <w:rFonts w:cstheme="minorHAnsi"/>
        </w:rPr>
        <w:t xml:space="preserve"> Ukupno je ostvareno je 567.293,23 EUR ili 96,37 % planirane vrijednosti</w:t>
      </w:r>
      <w:r>
        <w:rPr>
          <w:rFonts w:cstheme="minorHAnsi"/>
        </w:rPr>
        <w:t xml:space="preserve">, </w:t>
      </w:r>
      <w:r w:rsidRPr="00132B34">
        <w:rPr>
          <w:rFonts w:cstheme="minorHAnsi"/>
        </w:rPr>
        <w:t>što je ukupno za 148,19 % više u odnosu na 2024. godinu kada je realizirano 237.170,12 EUR</w:t>
      </w:r>
    </w:p>
    <w:p w14:paraId="65395983" w14:textId="77777777" w:rsidR="0096376B" w:rsidRDefault="0096376B" w:rsidP="0096376B">
      <w:pPr>
        <w:pStyle w:val="Bezproreda"/>
      </w:pPr>
    </w:p>
    <w:p w14:paraId="295A15BA" w14:textId="4A0F2785" w:rsidR="0096376B" w:rsidRDefault="0096376B" w:rsidP="0096376B">
      <w:pPr>
        <w:pStyle w:val="Bezproreda"/>
      </w:pPr>
      <w:r w:rsidRPr="009C7846">
        <w:t>U 2025. godini zasađeno je ukupno 4.193 komada grmova i stabala na različitim lokacijama, što je prikazano u tablici</w:t>
      </w:r>
      <w:r>
        <w:t xml:space="preserve"> 1</w:t>
      </w:r>
      <w:r w:rsidRPr="009C7846">
        <w:t>.</w:t>
      </w:r>
    </w:p>
    <w:tbl>
      <w:tblPr>
        <w:tblW w:w="5820" w:type="dxa"/>
        <w:tblLook w:val="04A0" w:firstRow="1" w:lastRow="0" w:firstColumn="1" w:lastColumn="0" w:noHBand="0" w:noVBand="1"/>
      </w:tblPr>
      <w:tblGrid>
        <w:gridCol w:w="4600"/>
        <w:gridCol w:w="700"/>
        <w:gridCol w:w="643"/>
      </w:tblGrid>
      <w:tr w:rsidR="0096376B" w:rsidRPr="0096376B" w14:paraId="57D7E7F7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56780F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Tabela</w:t>
            </w:r>
            <w:proofErr w:type="spellEnd"/>
            <w:r w:rsidRPr="0096376B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 1.</w:t>
            </w: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487D37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F86F6F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 </w:t>
            </w:r>
          </w:p>
        </w:tc>
      </w:tr>
      <w:tr w:rsidR="0096376B" w:rsidRPr="0096376B" w14:paraId="2EAD6D88" w14:textId="77777777" w:rsidTr="0096376B">
        <w:trPr>
          <w:trHeight w:val="3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EAC547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K.</w:t>
            </w:r>
            <w:proofErr w:type="gram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A.Stepinca</w:t>
            </w:r>
            <w:proofErr w:type="spellEnd"/>
            <w:proofErr w:type="gram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9EE067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  <w:t>kom</w:t>
            </w:r>
          </w:p>
        </w:tc>
        <w:tc>
          <w:tcPr>
            <w:tcW w:w="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139E50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110</w:t>
            </w:r>
          </w:p>
        </w:tc>
      </w:tr>
      <w:tr w:rsidR="0096376B" w:rsidRPr="0096376B" w14:paraId="7565F6C3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FC7A8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Krtine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AB5C49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0037B4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17</w:t>
            </w:r>
          </w:p>
        </w:tc>
      </w:tr>
      <w:tr w:rsidR="0096376B" w:rsidRPr="0096376B" w14:paraId="4B78F662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3B89923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Drvenik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 Mali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D7CF1F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1B851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4</w:t>
            </w:r>
          </w:p>
        </w:tc>
      </w:tr>
      <w:tr w:rsidR="0096376B" w:rsidRPr="0096376B" w14:paraId="77FF802D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90EA36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Krtine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606F1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4FFA0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  <w:t>150</w:t>
            </w:r>
          </w:p>
        </w:tc>
      </w:tr>
      <w:tr w:rsidR="0096376B" w:rsidRPr="0096376B" w14:paraId="00AFB3A2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E5437F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Lokacija:Rotor</w:t>
            </w:r>
            <w:proofErr w:type="spellEnd"/>
            <w:proofErr w:type="gramEnd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Brigi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5B306F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5DEF3B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20</w:t>
            </w:r>
          </w:p>
        </w:tc>
      </w:tr>
      <w:tr w:rsidR="0096376B" w:rsidRPr="0096376B" w14:paraId="6BB22356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8AF171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Naselje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D609B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FF68B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4</w:t>
            </w:r>
          </w:p>
        </w:tc>
      </w:tr>
      <w:tr w:rsidR="0096376B" w:rsidRPr="0096376B" w14:paraId="568FAB14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028936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Park Fortin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B6E7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B3B767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66</w:t>
            </w:r>
          </w:p>
        </w:tc>
      </w:tr>
      <w:tr w:rsidR="0096376B" w:rsidRPr="0096376B" w14:paraId="49CF6A99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A3151A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Lokacija:Rotor</w:t>
            </w:r>
            <w:proofErr w:type="spellEnd"/>
            <w:proofErr w:type="gram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Brigi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6D636E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8C5CC2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20</w:t>
            </w:r>
          </w:p>
        </w:tc>
      </w:tr>
      <w:tr w:rsidR="0096376B" w:rsidRPr="0096376B" w14:paraId="6B1145DC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394D8B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BC7AB1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pl-PL" w:eastAsia="hr-HR"/>
              </w:rPr>
              <w:t>Lokacija: Parking za stanare stare gradske jezgre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609ECA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B8AEA7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1</w:t>
            </w:r>
          </w:p>
        </w:tc>
      </w:tr>
      <w:tr w:rsidR="0096376B" w:rsidRPr="0096376B" w14:paraId="793C6820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B1F93E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Čiovo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B37DCB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ED860C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1</w:t>
            </w:r>
          </w:p>
        </w:tc>
      </w:tr>
      <w:tr w:rsidR="0096376B" w:rsidRPr="0096376B" w14:paraId="1D081395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397E0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Lokacija:Arbanija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636C7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C0584A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7</w:t>
            </w:r>
          </w:p>
        </w:tc>
      </w:tr>
      <w:tr w:rsidR="0096376B" w:rsidRPr="0096376B" w14:paraId="20B94401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408FA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Arbanija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395476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69ED16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141</w:t>
            </w:r>
          </w:p>
        </w:tc>
      </w:tr>
      <w:tr w:rsidR="0096376B" w:rsidRPr="0096376B" w14:paraId="665819CB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729A20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Borak -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Drvenik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 Mali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FAD92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027BE6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13</w:t>
            </w:r>
          </w:p>
        </w:tc>
      </w:tr>
      <w:tr w:rsidR="0096376B" w:rsidRPr="0096376B" w14:paraId="14727653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E26885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6376B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Brigi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D0A61B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815A51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color w:val="000000"/>
                <w:sz w:val="18"/>
                <w:szCs w:val="18"/>
                <w:lang w:val="en-US" w:eastAsia="hr-HR"/>
              </w:rPr>
              <w:t>3659</w:t>
            </w:r>
          </w:p>
        </w:tc>
      </w:tr>
      <w:tr w:rsidR="0096376B" w:rsidRPr="0096376B" w14:paraId="337A60C7" w14:textId="77777777" w:rsidTr="0096376B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1F7AB" w14:textId="77777777" w:rsidR="0096376B" w:rsidRPr="0096376B" w:rsidRDefault="0096376B" w:rsidP="0096376B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C7AB1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pl-PL" w:eastAsia="hr-HR"/>
              </w:rPr>
              <w:t xml:space="preserve">Ukupan broj stabala i grmova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F7005C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6376B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kom</w:t>
            </w:r>
            <w:proofErr w:type="spellEnd"/>
          </w:p>
        </w:tc>
        <w:tc>
          <w:tcPr>
            <w:tcW w:w="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D5ADD4" w14:textId="77777777" w:rsidR="0096376B" w:rsidRPr="0096376B" w:rsidRDefault="0096376B" w:rsidP="0096376B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6376B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4193</w:t>
            </w:r>
          </w:p>
        </w:tc>
      </w:tr>
    </w:tbl>
    <w:p w14:paraId="12EB8F8B" w14:textId="77777777" w:rsidR="0096376B" w:rsidRPr="00926733" w:rsidRDefault="0096376B" w:rsidP="00926733">
      <w:pPr>
        <w:pStyle w:val="Bezproreda"/>
        <w:rPr>
          <w:rFonts w:ascii="Calibri" w:hAnsi="Calibri" w:cs="Calibri"/>
        </w:rPr>
      </w:pPr>
    </w:p>
    <w:p w14:paraId="1354872D" w14:textId="3F5405DA" w:rsidR="00926733" w:rsidRPr="00926733" w:rsidRDefault="00926733" w:rsidP="00926733">
      <w:pPr>
        <w:pStyle w:val="Bezproreda"/>
        <w:rPr>
          <w:rFonts w:ascii="Calibri" w:hAnsi="Calibri" w:cs="Calibri"/>
        </w:rPr>
      </w:pPr>
      <w:r w:rsidRPr="00926733">
        <w:rPr>
          <w:rFonts w:ascii="Calibri" w:hAnsi="Calibri" w:cs="Calibri"/>
        </w:rPr>
        <w:t xml:space="preserve">Također, u drugoj tablici prikazan je broj od 6.342 komada sezonskog bilja posađenog na različitim lokacijama </w:t>
      </w:r>
    </w:p>
    <w:p w14:paraId="62FFD3C2" w14:textId="0B6B9E55" w:rsidR="00B85C4C" w:rsidRPr="00B85C4C" w:rsidRDefault="00B85C4C" w:rsidP="0096376B">
      <w:pPr>
        <w:pStyle w:val="Bezproreda"/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val="en-US" w:eastAsia="hr-HR"/>
        </w:rPr>
      </w:pPr>
      <w:proofErr w:type="spellStart"/>
      <w:r w:rsidRPr="0096376B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val="en-US" w:eastAsia="hr-HR"/>
        </w:rPr>
        <w:t>Tabela</w:t>
      </w:r>
      <w:proofErr w:type="spellEnd"/>
      <w:r w:rsidRPr="0096376B"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val="en-US" w:eastAsia="hr-HR"/>
        </w:rPr>
        <w:t xml:space="preserve"> </w:t>
      </w:r>
      <w:r>
        <w:rPr>
          <w:rFonts w:ascii="Cambria" w:eastAsia="Times New Roman" w:hAnsi="Cambria" w:cs="Times New Roman"/>
          <w:b/>
          <w:bCs/>
          <w:i/>
          <w:iCs/>
          <w:color w:val="000000"/>
          <w:sz w:val="20"/>
          <w:szCs w:val="20"/>
          <w:lang w:val="en-US" w:eastAsia="hr-HR"/>
        </w:rPr>
        <w:t>2.</w:t>
      </w:r>
    </w:p>
    <w:tbl>
      <w:tblPr>
        <w:tblW w:w="5940" w:type="dxa"/>
        <w:tblLook w:val="04A0" w:firstRow="1" w:lastRow="0" w:firstColumn="1" w:lastColumn="0" w:noHBand="0" w:noVBand="1"/>
      </w:tblPr>
      <w:tblGrid>
        <w:gridCol w:w="4600"/>
        <w:gridCol w:w="700"/>
        <w:gridCol w:w="663"/>
      </w:tblGrid>
      <w:tr w:rsidR="00926733" w:rsidRPr="00926733" w14:paraId="05404410" w14:textId="77777777" w:rsidTr="00926733">
        <w:trPr>
          <w:trHeight w:val="33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3B94C9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Žedno</w:t>
            </w:r>
            <w:proofErr w:type="spellEnd"/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C7978C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0D95FF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100</w:t>
            </w:r>
          </w:p>
        </w:tc>
      </w:tr>
      <w:tr w:rsidR="00926733" w:rsidRPr="00926733" w14:paraId="05B56CD0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7FC6EC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Žedno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Plaža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Šaldun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FF0C8B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i/>
                <w:iCs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913545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120</w:t>
            </w:r>
          </w:p>
        </w:tc>
      </w:tr>
      <w:tr w:rsidR="00926733" w:rsidRPr="00926733" w14:paraId="78917002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1C2BC0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Žedno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C72376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5A86759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400</w:t>
            </w:r>
          </w:p>
        </w:tc>
      </w:tr>
      <w:tr w:rsidR="00926733" w:rsidRPr="00926733" w14:paraId="32CDD0BC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830325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lastRenderedPageBreak/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Brigi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31C9D8D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D4EE7B" w14:textId="53DB1381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11</w:t>
            </w:r>
            <w:r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2</w:t>
            </w: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3</w:t>
            </w:r>
          </w:p>
        </w:tc>
      </w:tr>
      <w:tr w:rsidR="00926733" w:rsidRPr="00926733" w14:paraId="4831B137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CD8401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>Drvenik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 xml:space="preserve">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>Veliki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4DEDB0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A42BD1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43</w:t>
            </w:r>
          </w:p>
        </w:tc>
      </w:tr>
      <w:tr w:rsidR="00926733" w:rsidRPr="00926733" w14:paraId="5FD0D3E3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685EFA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Naselje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0680D" w14:textId="77777777" w:rsidR="00926733" w:rsidRPr="00926733" w:rsidRDefault="00926733" w:rsidP="00926733">
            <w:pPr>
              <w:spacing w:after="0" w:line="240" w:lineRule="auto"/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</w:pPr>
            <w:r w:rsidRPr="00926733">
              <w:rPr>
                <w:rFonts w:ascii="Aptos" w:eastAsia="Times New Roman" w:hAnsi="Aptos" w:cs="Times New Roman"/>
                <w:color w:val="000000"/>
                <w:sz w:val="24"/>
                <w:szCs w:val="24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747C4A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  <w:t>54</w:t>
            </w:r>
          </w:p>
        </w:tc>
      </w:tr>
      <w:tr w:rsidR="00926733" w:rsidRPr="00926733" w14:paraId="7C590F1C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5D8B04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Lokacija:Fortin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AB0121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571F4F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2</w:t>
            </w:r>
          </w:p>
        </w:tc>
      </w:tr>
      <w:tr w:rsidR="00926733" w:rsidRPr="00926733" w14:paraId="0DFADA1F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A59749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 xml:space="preserve">: Kula </w:t>
            </w: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Kamerlengo</w:t>
            </w:r>
            <w:proofErr w:type="spell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A9BDF0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E861C1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1500</w:t>
            </w:r>
          </w:p>
        </w:tc>
      </w:tr>
      <w:tr w:rsidR="00926733" w:rsidRPr="00926733" w14:paraId="248763CD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8E82CB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proofErr w:type="gram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Lokacija:Fortin</w:t>
            </w:r>
            <w:proofErr w:type="spellEnd"/>
            <w:proofErr w:type="gramEnd"/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C940A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82BDC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2500</w:t>
            </w:r>
          </w:p>
        </w:tc>
      </w:tr>
      <w:tr w:rsidR="00926733" w:rsidRPr="00926733" w14:paraId="38744823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C70E2" w14:textId="77777777" w:rsidR="00926733" w:rsidRPr="00926733" w:rsidRDefault="00926733" w:rsidP="00926733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eastAsia="hr-HR"/>
              </w:rPr>
            </w:pPr>
            <w:proofErr w:type="spellStart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Lokacija</w:t>
            </w:r>
            <w:proofErr w:type="spellEnd"/>
            <w:r w:rsidRPr="00926733">
              <w:rPr>
                <w:rFonts w:ascii="Cambria" w:eastAsia="Times New Roman" w:hAnsi="Cambria" w:cs="Times New Roman"/>
                <w:b/>
                <w:bCs/>
                <w:i/>
                <w:iCs/>
                <w:color w:val="000000"/>
                <w:sz w:val="20"/>
                <w:szCs w:val="20"/>
                <w:lang w:val="en-US" w:eastAsia="hr-HR"/>
              </w:rPr>
              <w:t>: Kino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537DE4" w14:textId="77777777" w:rsidR="00926733" w:rsidRPr="00926733" w:rsidRDefault="00926733" w:rsidP="00926733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20"/>
                <w:szCs w:val="20"/>
                <w:lang w:val="en-US"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119455" w14:textId="77777777" w:rsidR="00926733" w:rsidRPr="00926733" w:rsidRDefault="00926733" w:rsidP="00926733">
            <w:pPr>
              <w:spacing w:after="0" w:line="240" w:lineRule="auto"/>
              <w:jc w:val="right"/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926733">
              <w:rPr>
                <w:rFonts w:ascii="Cambria" w:eastAsia="Times New Roman" w:hAnsi="Cambria" w:cs="Times New Roman"/>
                <w:b/>
                <w:bCs/>
                <w:color w:val="000000"/>
                <w:sz w:val="18"/>
                <w:szCs w:val="18"/>
                <w:lang w:val="en-US" w:eastAsia="hr-HR"/>
              </w:rPr>
              <w:t>500</w:t>
            </w:r>
          </w:p>
        </w:tc>
      </w:tr>
      <w:tr w:rsidR="00926733" w:rsidRPr="00926733" w14:paraId="0F01C369" w14:textId="77777777" w:rsidTr="00926733">
        <w:trPr>
          <w:trHeight w:val="3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03696" w14:textId="77777777" w:rsidR="00926733" w:rsidRPr="00926733" w:rsidRDefault="00926733" w:rsidP="009267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BC7AB1">
              <w:rPr>
                <w:rFonts w:ascii="Aptos Narrow" w:eastAsia="Times New Roman" w:hAnsi="Aptos Narrow" w:cs="Times New Roman"/>
                <w:b/>
                <w:bCs/>
                <w:color w:val="000000"/>
                <w:lang w:val="pl-PL" w:eastAsia="hr-HR"/>
              </w:rPr>
              <w:t xml:space="preserve">Ukupan broj sezonskog bilja u 2025 godini           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3B0A76" w14:textId="77777777" w:rsidR="00926733" w:rsidRPr="00926733" w:rsidRDefault="00926733" w:rsidP="00926733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92673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0D0EE9" w14:textId="6C61347E" w:rsidR="00926733" w:rsidRPr="00926733" w:rsidRDefault="00926733" w:rsidP="00926733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</w:pPr>
            <w:r w:rsidRPr="0092673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63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4</w:t>
            </w:r>
            <w:r w:rsidRPr="00926733">
              <w:rPr>
                <w:rFonts w:ascii="Aptos Narrow" w:eastAsia="Times New Roman" w:hAnsi="Aptos Narrow" w:cs="Times New Roman"/>
                <w:b/>
                <w:bCs/>
                <w:color w:val="000000"/>
                <w:lang w:eastAsia="hr-HR"/>
              </w:rPr>
              <w:t>2</w:t>
            </w:r>
          </w:p>
        </w:tc>
      </w:tr>
    </w:tbl>
    <w:p w14:paraId="230AA3D3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6A3B9E7B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ODRŽAVANJE JAVNIH POVRŠINA (GRAĐEVINA, UREĐAJA PREDMETA JAVNE NAMJENE)</w:t>
      </w:r>
    </w:p>
    <w:p w14:paraId="0C3BC3CE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6BD3779F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Davatelj usluge je za 2025. godinu planirao obavljati redovito održavanje, popravak i čišćenje građevina, uređaja i predmeta javne namjene ( nadstrešnice, javni zahodi, javni satovi, ploče , oznake i dr. ). Predviđena vrijednost radova bila je 6.480,00 EUR ,  ostvareno je 3.690,00 EUR  ili  56,94%, što znači da nije bilo posebnih zahtjeva za održavanjem spomenutih građevina.</w:t>
      </w:r>
    </w:p>
    <w:p w14:paraId="2AA0FB0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7CCB4DE0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ODRŽAVANJE ČISTOĆE NA JAVNIM POVRŠINAMA</w:t>
      </w:r>
    </w:p>
    <w:p w14:paraId="1E7780C4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69939260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  <w:bCs/>
          <w:iCs/>
        </w:rPr>
        <w:t>Programom rada i održavanje za 2025. godinu osnovni cilj je  da se Grad održi čistim i urednim, da se gdje je to potrebno poveća učestalost ručnog i strojnog pometanja</w:t>
      </w:r>
      <w:r>
        <w:rPr>
          <w:rFonts w:cstheme="minorHAnsi"/>
          <w:bCs/>
          <w:iCs/>
        </w:rPr>
        <w:t>, kao i pranja Grada</w:t>
      </w:r>
      <w:r w:rsidRPr="00132B34">
        <w:rPr>
          <w:rFonts w:cstheme="minorHAnsi"/>
          <w:bCs/>
          <w:iCs/>
        </w:rPr>
        <w:t>. Posebni naglasak je u ljetnom periodu, povećati broj pranja ulica, trgova i lokacija uz kontejnere za odlaganja otpada,</w:t>
      </w:r>
      <w:r>
        <w:rPr>
          <w:rFonts w:cstheme="minorHAnsi"/>
          <w:bCs/>
          <w:iCs/>
        </w:rPr>
        <w:t xml:space="preserve"> čišćenje u</w:t>
      </w:r>
      <w:r w:rsidRPr="00132B34">
        <w:rPr>
          <w:rFonts w:cstheme="minorHAnsi"/>
          <w:bCs/>
          <w:iCs/>
        </w:rPr>
        <w:t xml:space="preserve"> popodnevnim satima, nedjeljom i praznikom, te na otocima Drvenik Veliki i Drvenik Mali. </w:t>
      </w:r>
      <w:r w:rsidRPr="00132B34">
        <w:rPr>
          <w:rFonts w:cstheme="minorHAnsi"/>
        </w:rPr>
        <w:t>Davatelj usluge je tijekom 2025. godine redovito održavao čistoću na javnim površinama.</w:t>
      </w:r>
    </w:p>
    <w:p w14:paraId="5D636F66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Ugovoreni poslovi prema Programu rada za 2025. godinu bili su:</w:t>
      </w:r>
    </w:p>
    <w:p w14:paraId="4AB585EE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1. Pometanje strojno, u iznosu od 50.579,42 EUR , </w:t>
      </w:r>
    </w:p>
    <w:p w14:paraId="30DFC830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2. Pometanje ručno, u iznosu od 197.187,44 EUR ,</w:t>
      </w:r>
    </w:p>
    <w:p w14:paraId="140FB348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3. Strojno pranje grada,  u iznosu od 51.120,00 EUR,</w:t>
      </w:r>
    </w:p>
    <w:p w14:paraId="395D7C77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4. Čišćenje nanosa nakon jakih kiša, u iznosu od 7.230,00 EUR,</w:t>
      </w:r>
    </w:p>
    <w:p w14:paraId="527CBA9E" w14:textId="06F4FF35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5. Pranje lokacija gdje su postavljeni </w:t>
      </w:r>
      <w:proofErr w:type="spellStart"/>
      <w:r w:rsidRPr="00132B34">
        <w:rPr>
          <w:rFonts w:cstheme="minorHAnsi"/>
        </w:rPr>
        <w:t>polupodzemni</w:t>
      </w:r>
      <w:proofErr w:type="spellEnd"/>
      <w:r w:rsidRPr="00132B34">
        <w:rPr>
          <w:rFonts w:cstheme="minorHAnsi"/>
        </w:rPr>
        <w:t xml:space="preserve"> </w:t>
      </w:r>
      <w:r w:rsidR="002E533F">
        <w:rPr>
          <w:rFonts w:cstheme="minorHAnsi"/>
        </w:rPr>
        <w:t>spremnici</w:t>
      </w:r>
      <w:r w:rsidRPr="00132B34">
        <w:rPr>
          <w:rFonts w:cstheme="minorHAnsi"/>
        </w:rPr>
        <w:t xml:space="preserve"> u iznosu od</w:t>
      </w:r>
      <w:r>
        <w:rPr>
          <w:rFonts w:cstheme="minorHAnsi"/>
        </w:rPr>
        <w:t xml:space="preserve"> </w:t>
      </w:r>
      <w:r w:rsidRPr="00132B34">
        <w:rPr>
          <w:rFonts w:cstheme="minorHAnsi"/>
        </w:rPr>
        <w:t>38.610,00 EUR,</w:t>
      </w:r>
    </w:p>
    <w:p w14:paraId="161033FD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6. Uklanjanje otpada kojeg je nepoznata osoba odbacila na javnu površinu ili zemljište u vlasništvu </w:t>
      </w:r>
      <w:r>
        <w:rPr>
          <w:rFonts w:cstheme="minorHAnsi"/>
        </w:rPr>
        <w:t xml:space="preserve"> </w:t>
      </w:r>
    </w:p>
    <w:p w14:paraId="06A73CAB" w14:textId="77777777" w:rsidR="00C114C4" w:rsidRDefault="00C114C4" w:rsidP="00C114C4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 xml:space="preserve">    </w:t>
      </w:r>
      <w:r w:rsidRPr="00132B34">
        <w:rPr>
          <w:rFonts w:cstheme="minorHAnsi"/>
        </w:rPr>
        <w:t>jedinice lokalne samouprave u iznosu 108.000,00 EUR.</w:t>
      </w:r>
    </w:p>
    <w:p w14:paraId="58CF11BC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1AE83A2F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Ukupno</w:t>
      </w:r>
      <w:r>
        <w:rPr>
          <w:rFonts w:cstheme="minorHAnsi"/>
        </w:rPr>
        <w:t xml:space="preserve"> u programu</w:t>
      </w:r>
      <w:r w:rsidRPr="00132B34">
        <w:rPr>
          <w:rFonts w:cstheme="minorHAnsi"/>
        </w:rPr>
        <w:t xml:space="preserve"> održavanj</w:t>
      </w:r>
      <w:r>
        <w:rPr>
          <w:rFonts w:cstheme="minorHAnsi"/>
        </w:rPr>
        <w:t>a</w:t>
      </w:r>
      <w:r w:rsidRPr="00132B34">
        <w:rPr>
          <w:rFonts w:cstheme="minorHAnsi"/>
        </w:rPr>
        <w:t xml:space="preserve"> čistoće na javnim površinama ostvareno je  vrijednosti od </w:t>
      </w:r>
      <w:r>
        <w:rPr>
          <w:rFonts w:cstheme="minorHAnsi"/>
        </w:rPr>
        <w:t>452.434,35</w:t>
      </w:r>
      <w:r w:rsidRPr="00132B34">
        <w:rPr>
          <w:rFonts w:cstheme="minorHAnsi"/>
        </w:rPr>
        <w:t xml:space="preserve"> EUR  ili 9</w:t>
      </w:r>
      <w:r>
        <w:rPr>
          <w:rFonts w:cstheme="minorHAnsi"/>
        </w:rPr>
        <w:t xml:space="preserve">9,94 </w:t>
      </w:r>
      <w:r w:rsidRPr="00132B34">
        <w:rPr>
          <w:rFonts w:cstheme="minorHAnsi"/>
        </w:rPr>
        <w:t xml:space="preserve">% od planiranih </w:t>
      </w:r>
      <w:r>
        <w:rPr>
          <w:rFonts w:cstheme="minorHAnsi"/>
        </w:rPr>
        <w:t>452.726,86</w:t>
      </w:r>
      <w:r w:rsidRPr="00132B34">
        <w:rPr>
          <w:rFonts w:cstheme="minorHAnsi"/>
        </w:rPr>
        <w:t xml:space="preserve"> EUR .</w:t>
      </w:r>
    </w:p>
    <w:p w14:paraId="5A0CCB3B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37DD6C14" w14:textId="77777777" w:rsidR="00C114C4" w:rsidRPr="00132B34" w:rsidRDefault="00C114C4" w:rsidP="00C114C4">
      <w:pPr>
        <w:pStyle w:val="Bezproreda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 xml:space="preserve">PRIGODNO UKRAŠAVANJE GRADA </w:t>
      </w:r>
    </w:p>
    <w:p w14:paraId="44880658" w14:textId="77777777" w:rsidR="00C114C4" w:rsidRPr="00132B34" w:rsidRDefault="00C114C4" w:rsidP="00C114C4">
      <w:pPr>
        <w:pStyle w:val="Bezproreda"/>
        <w:ind w:left="720"/>
        <w:jc w:val="both"/>
        <w:rPr>
          <w:rFonts w:cstheme="minorHAnsi"/>
        </w:rPr>
      </w:pPr>
    </w:p>
    <w:p w14:paraId="316837F5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Davatelj usluge je tijekom 2025. godine obavljao ukrašavanje i osvjetljavanje područja grada Trogira za državne, božićno-novogodišnje </w:t>
      </w:r>
      <w:r>
        <w:rPr>
          <w:rFonts w:cstheme="minorHAnsi"/>
        </w:rPr>
        <w:t xml:space="preserve">i uskrsne blagdane, </w:t>
      </w:r>
      <w:r w:rsidRPr="00132B34">
        <w:rPr>
          <w:rFonts w:cstheme="minorHAnsi"/>
        </w:rPr>
        <w:t xml:space="preserve"> a što podrazumijevan popravljanje starih ukrasa, te  nabave i  postavljanja novih ukrasa i borova.</w:t>
      </w:r>
    </w:p>
    <w:p w14:paraId="0637919E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Ukupna predviđena vrijednost radova za blagdansko ukrašavanje iznosila je 108.000,00 EUR, od čega je realizirano 107.995,00 EUR ili skoro 100,00 %.</w:t>
      </w:r>
    </w:p>
    <w:p w14:paraId="1CDA052F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7305AB0C" w14:textId="77777777" w:rsidR="00C114C4" w:rsidRPr="00CA023D" w:rsidRDefault="00C114C4" w:rsidP="00C114C4">
      <w:pPr>
        <w:pStyle w:val="Bezproreda"/>
        <w:jc w:val="both"/>
        <w:rPr>
          <w:rFonts w:cstheme="minorHAnsi"/>
          <w:b/>
          <w:bCs/>
          <w:u w:val="single"/>
        </w:rPr>
      </w:pPr>
      <w:r w:rsidRPr="00CA023D">
        <w:rPr>
          <w:rFonts w:cstheme="minorHAnsi"/>
          <w:b/>
          <w:bCs/>
          <w:u w:val="single"/>
        </w:rPr>
        <w:t>UKUPNO KOMUNALNI POSLOVI PREMA PROGRAMU RADA ZA 2025. GODINU</w:t>
      </w:r>
    </w:p>
    <w:p w14:paraId="3B7FD66F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32522988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Prema programu rada za 2025. godinu ugovoreno je poslova predviđene vrijednosti 1.599.422,46 EUR, a ostvareno je 1.577.395,09 EUR ili 98,62 %. </w:t>
      </w:r>
    </w:p>
    <w:p w14:paraId="15100BA5" w14:textId="77777777" w:rsidR="00C114C4" w:rsidRPr="00132B34" w:rsidRDefault="00C114C4" w:rsidP="00C114C4">
      <w:pPr>
        <w:pStyle w:val="Bezproreda"/>
        <w:jc w:val="both"/>
        <w:rPr>
          <w:rFonts w:cstheme="minorHAnsi"/>
          <w:i/>
          <w:iCs/>
        </w:rPr>
      </w:pPr>
      <w:r w:rsidRPr="00132B34">
        <w:rPr>
          <w:rFonts w:cstheme="minorHAnsi"/>
          <w:i/>
          <w:iCs/>
        </w:rPr>
        <w:t>Sve planirane i ostvarene vrijednosti u Ugovoru o održavanju komunalne infrastrukture i uređenog građevinskog zemljišta za 2025. godinu izražene su  u eurima bez PDV-a.</w:t>
      </w:r>
    </w:p>
    <w:p w14:paraId="239B6620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Poslove prema programu rada za 2025. godinu  obavljali su djelatnici različitih radnih jedinica :         </w:t>
      </w:r>
    </w:p>
    <w:p w14:paraId="1BA9A16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lastRenderedPageBreak/>
        <w:t xml:space="preserve">RJ održavanje čistoće na javnim površinama, RJ zelene površine, RJ groblje,  Odjel održavanja, te dio djelatnika iz odjela prikupljanja otpada. </w:t>
      </w:r>
    </w:p>
    <w:p w14:paraId="55A1ED12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4010A0A8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Direktni troškovi poslovanja za obavljene poslove prema programu rada iznosili su:</w:t>
      </w:r>
    </w:p>
    <w:p w14:paraId="58F0340E" w14:textId="77777777" w:rsidR="00C114C4" w:rsidRPr="00132B3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>materijalni troškovi poslovanja u iznosu od</w:t>
      </w:r>
      <w:r w:rsidRPr="00132B34">
        <w:rPr>
          <w:rFonts w:cstheme="minorHAnsi"/>
        </w:rPr>
        <w:tab/>
        <w:t xml:space="preserve">  541.254,06 EUR </w:t>
      </w:r>
    </w:p>
    <w:p w14:paraId="1209F3ED" w14:textId="77777777" w:rsidR="00C114C4" w:rsidRPr="00132B3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u w:val="single"/>
        </w:rPr>
      </w:pPr>
      <w:r w:rsidRPr="00132B34">
        <w:rPr>
          <w:rFonts w:cstheme="minorHAnsi"/>
          <w:u w:val="single"/>
        </w:rPr>
        <w:t xml:space="preserve">troškovi 55 zaposlenih u iznosu od                 </w:t>
      </w:r>
      <w:r w:rsidRPr="00132B34">
        <w:rPr>
          <w:rFonts w:cstheme="minorHAnsi"/>
          <w:u w:val="single"/>
        </w:rPr>
        <w:tab/>
        <w:t xml:space="preserve">1.040.524,51EUR </w:t>
      </w:r>
    </w:p>
    <w:p w14:paraId="22DF81B9" w14:textId="77777777" w:rsidR="00C114C4" w:rsidRPr="00132B3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 xml:space="preserve">ukupno direktni troškovi:                              </w:t>
      </w:r>
      <w:r w:rsidRPr="00132B34">
        <w:rPr>
          <w:rFonts w:cstheme="minorHAnsi"/>
        </w:rPr>
        <w:tab/>
        <w:t>1.581.778,57 EUR</w:t>
      </w:r>
    </w:p>
    <w:p w14:paraId="738059A4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5A0B028C" w14:textId="77777777" w:rsidR="00C114C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Trogir holding d.o.o.  ima sklopljen Sporazum  sa Gradom Trogirom o obavljanju uslužnih komunalnih djelatnosti prema kojem je Trogir holdingu dano  na upravljanje:</w:t>
      </w:r>
    </w:p>
    <w:p w14:paraId="736DA70C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p w14:paraId="50AE70AB" w14:textId="77777777" w:rsidR="00C114C4" w:rsidRPr="00CA023D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CA023D">
        <w:rPr>
          <w:rFonts w:cstheme="minorHAnsi"/>
        </w:rPr>
        <w:t>NAPLATA PARKIRANJA NA UREĐENIM JAVNIM POVRŠINAMA ZA 2025.G.</w:t>
      </w:r>
    </w:p>
    <w:p w14:paraId="4F252CF5" w14:textId="77777777" w:rsidR="00C114C4" w:rsidRPr="00CA023D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CA023D">
        <w:rPr>
          <w:rFonts w:cstheme="minorHAnsi"/>
        </w:rPr>
        <w:t>NAPLATA ZAKUPA PROSTORA NA TRŽNICI I RIBARNICI ZA 2025.G.</w:t>
      </w:r>
    </w:p>
    <w:p w14:paraId="603A8EDD" w14:textId="77777777" w:rsidR="00C114C4" w:rsidRPr="00CA023D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CA023D">
        <w:rPr>
          <w:rFonts w:cstheme="minorHAnsi"/>
        </w:rPr>
        <w:t>USLUGE UKOPA UNUTAR GROBLJA  ZA 2025.G.</w:t>
      </w:r>
    </w:p>
    <w:p w14:paraId="4187A8A6" w14:textId="77777777" w:rsidR="00C114C4" w:rsidRDefault="00C114C4" w:rsidP="00C114C4">
      <w:pPr>
        <w:pStyle w:val="Bezproreda"/>
        <w:pBdr>
          <w:top w:val="nil"/>
          <w:left w:val="nil"/>
          <w:bottom w:val="nil"/>
          <w:right w:val="nil"/>
          <w:between w:val="nil"/>
          <w:bar w:val="nil"/>
        </w:pBdr>
        <w:ind w:left="720"/>
        <w:jc w:val="both"/>
        <w:rPr>
          <w:rFonts w:cstheme="minorHAnsi"/>
        </w:rPr>
      </w:pPr>
    </w:p>
    <w:p w14:paraId="6B628D82" w14:textId="77777777" w:rsidR="00C114C4" w:rsidRPr="00132B34" w:rsidRDefault="00C114C4" w:rsidP="00C114C4">
      <w:pPr>
        <w:pStyle w:val="Bezproreda"/>
        <w:ind w:left="405"/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II.       NAPLATA PARKIRANJA NA UREĐENIM JAVNIM POVRŠINAMA ZA 2025.G.</w:t>
      </w:r>
    </w:p>
    <w:p w14:paraId="3EDBA00C" w14:textId="77777777" w:rsidR="00C114C4" w:rsidRPr="00132B34" w:rsidRDefault="00C114C4" w:rsidP="00C114C4">
      <w:pPr>
        <w:pStyle w:val="Bezproreda"/>
        <w:jc w:val="both"/>
        <w:rPr>
          <w:rFonts w:cstheme="minorHAnsi"/>
          <w:b/>
          <w:bCs/>
        </w:rPr>
      </w:pPr>
    </w:p>
    <w:p w14:paraId="0A97D4E3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Trogir holding d.o.o. je u 2025. godini obavljao održavanje, kontrolu i naplatu parking prostora   na uređenim javnim površinama, te ostvario prihode (</w:t>
      </w:r>
      <w:r w:rsidRPr="00132B34">
        <w:rPr>
          <w:rFonts w:cstheme="minorHAnsi"/>
          <w:u w:val="single"/>
        </w:rPr>
        <w:t>izraženo u eurima bez PDV-a</w:t>
      </w:r>
      <w:r w:rsidRPr="00132B34">
        <w:rPr>
          <w:rFonts w:cstheme="minorHAnsi"/>
        </w:rPr>
        <w:t>) kako slijedi:</w:t>
      </w:r>
    </w:p>
    <w:p w14:paraId="7DCECAD9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</w:p>
    <w:tbl>
      <w:tblPr>
        <w:tblW w:w="7239" w:type="dxa"/>
        <w:tblLook w:val="04A0" w:firstRow="1" w:lastRow="0" w:firstColumn="1" w:lastColumn="0" w:noHBand="0" w:noVBand="1"/>
      </w:tblPr>
      <w:tblGrid>
        <w:gridCol w:w="5709"/>
        <w:gridCol w:w="1530"/>
      </w:tblGrid>
      <w:tr w:rsidR="00C114C4" w:rsidRPr="00132B34" w14:paraId="12036788" w14:textId="77777777" w:rsidTr="00F02BE0">
        <w:trPr>
          <w:trHeight w:val="322"/>
        </w:trPr>
        <w:tc>
          <w:tcPr>
            <w:tcW w:w="5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8E47E" w14:textId="77777777" w:rsidR="00C114C4" w:rsidRPr="00132B34" w:rsidRDefault="00C114C4" w:rsidP="00F02BE0">
            <w:pPr>
              <w:spacing w:after="0" w:line="240" w:lineRule="auto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T-1  </w:t>
            </w:r>
          </w:p>
        </w:tc>
        <w:tc>
          <w:tcPr>
            <w:tcW w:w="15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25A69" w14:textId="77777777" w:rsidR="00C114C4" w:rsidRPr="00132B34" w:rsidRDefault="00C114C4" w:rsidP="000B6BF0">
            <w:pPr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>811.573,11</w:t>
            </w:r>
          </w:p>
        </w:tc>
      </w:tr>
      <w:tr w:rsidR="00C114C4" w:rsidRPr="00132B34" w14:paraId="39C3B229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7953D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T-2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0DEA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>136.974,56</w:t>
            </w:r>
          </w:p>
        </w:tc>
      </w:tr>
      <w:tr w:rsidR="00C114C4" w:rsidRPr="00132B34" w14:paraId="7CCBCD90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94CE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T-3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7685E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  19.257,96</w:t>
            </w:r>
          </w:p>
        </w:tc>
      </w:tr>
      <w:tr w:rsidR="00C114C4" w:rsidRPr="00132B34" w14:paraId="254C75AE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1156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T-4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7EC2D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>140.870,12</w:t>
            </w:r>
          </w:p>
        </w:tc>
      </w:tr>
      <w:tr w:rsidR="00C114C4" w:rsidRPr="00132B34" w14:paraId="74CD3EF4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6D74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T-5 </w:t>
            </w:r>
            <w:proofErr w:type="spellStart"/>
            <w:r w:rsidRPr="00132B34">
              <w:rPr>
                <w:rFonts w:cstheme="minorHAnsi"/>
                <w:color w:val="000000"/>
              </w:rPr>
              <w:t>Fortin</w:t>
            </w:r>
            <w:proofErr w:type="spellEnd"/>
            <w:r w:rsidRPr="00132B34">
              <w:rPr>
                <w:rFonts w:cstheme="minorHAnsi"/>
                <w:color w:val="000000"/>
              </w:rPr>
              <w:t xml:space="preserve">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BB6E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>435.963,38</w:t>
            </w:r>
          </w:p>
        </w:tc>
      </w:tr>
      <w:tr w:rsidR="00C114C4" w:rsidRPr="00132B34" w14:paraId="33BE74EF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513B3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T-6 Čiovo  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173A5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 151.637,07</w:t>
            </w:r>
          </w:p>
        </w:tc>
      </w:tr>
      <w:tr w:rsidR="00C114C4" w:rsidRPr="00132B34" w14:paraId="29C7E18C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8BAA9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>Prihodi od parkinga-SOLINE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DA3F5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   40.536,37</w:t>
            </w:r>
          </w:p>
        </w:tc>
      </w:tr>
      <w:tr w:rsidR="00C114C4" w:rsidRPr="00132B34" w14:paraId="5A092C4C" w14:textId="77777777" w:rsidTr="00F02BE0">
        <w:trPr>
          <w:trHeight w:val="111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246EEE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Prihodi od parkinga </w:t>
            </w:r>
            <w:proofErr w:type="spellStart"/>
            <w:r w:rsidRPr="00132B34">
              <w:rPr>
                <w:rFonts w:cstheme="minorHAnsi"/>
                <w:color w:val="000000"/>
              </w:rPr>
              <w:t>Balančane</w:t>
            </w:r>
            <w:proofErr w:type="spellEnd"/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08DB5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     9.184,40</w:t>
            </w:r>
          </w:p>
        </w:tc>
      </w:tr>
      <w:tr w:rsidR="00C114C4" w:rsidRPr="00132B34" w14:paraId="061FA78A" w14:textId="77777777" w:rsidTr="00F02BE0">
        <w:trPr>
          <w:trHeight w:val="282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54DC1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>Prihodi od parkinga Ribola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4BF67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color w:val="000000"/>
              </w:rPr>
            </w:pPr>
            <w:r w:rsidRPr="00132B34">
              <w:rPr>
                <w:rFonts w:cstheme="minorHAnsi"/>
                <w:color w:val="000000"/>
              </w:rPr>
              <w:t xml:space="preserve">     1.653,60</w:t>
            </w:r>
          </w:p>
        </w:tc>
      </w:tr>
      <w:tr w:rsidR="00C114C4" w:rsidRPr="00132B34" w14:paraId="75FD6C1D" w14:textId="77777777" w:rsidTr="00F02BE0">
        <w:trPr>
          <w:trHeight w:val="332"/>
        </w:trPr>
        <w:tc>
          <w:tcPr>
            <w:tcW w:w="5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19CD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b/>
                <w:bCs/>
                <w:color w:val="000000"/>
              </w:rPr>
            </w:pPr>
            <w:r w:rsidRPr="00132B34">
              <w:rPr>
                <w:rFonts w:cstheme="minorHAnsi"/>
                <w:b/>
                <w:bCs/>
                <w:color w:val="000000"/>
              </w:rPr>
              <w:t>UKUPNO PARKIRALIŠTA: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97795" w14:textId="77777777" w:rsidR="00C114C4" w:rsidRPr="00132B34" w:rsidRDefault="00C114C4" w:rsidP="00F02BE0">
            <w:pPr>
              <w:spacing w:after="0"/>
              <w:jc w:val="both"/>
              <w:rPr>
                <w:rFonts w:cstheme="minorHAnsi"/>
                <w:b/>
                <w:bCs/>
                <w:color w:val="000000"/>
              </w:rPr>
            </w:pPr>
            <w:r w:rsidRPr="00132B34">
              <w:rPr>
                <w:rFonts w:cstheme="minorHAnsi"/>
                <w:b/>
                <w:bCs/>
                <w:color w:val="000000"/>
              </w:rPr>
              <w:t>1.747.650,57</w:t>
            </w:r>
          </w:p>
        </w:tc>
      </w:tr>
    </w:tbl>
    <w:p w14:paraId="16297E56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Ukupno ostvareni prihodi od naplate parkiranja u 2025. godini </w:t>
      </w:r>
      <w:r>
        <w:rPr>
          <w:rFonts w:cstheme="minorHAnsi"/>
        </w:rPr>
        <w:t>iznose</w:t>
      </w:r>
      <w:r w:rsidRPr="00132B34">
        <w:rPr>
          <w:rFonts w:cstheme="minorHAnsi"/>
        </w:rPr>
        <w:t xml:space="preserve"> 1.747.650,57 EUR što je više za 20,35 % u odnosu na  ostvarene prihode od naplate parkiranja u 2024. godini.</w:t>
      </w:r>
    </w:p>
    <w:p w14:paraId="50E06F00" w14:textId="29609697" w:rsidR="00C114C4" w:rsidRDefault="00C114C4" w:rsidP="00C114C4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Potrebno je napomenuti da se u 2025. godini nastavilo se sa uređenjem parking prostora, postavljena je  vertikalna i horizontalna signalizacija parkirališta, te je organizirana sadnja stabala kroz projekt „provedba mjera prilagodbe klimatskih promjena“</w:t>
      </w:r>
      <w:r w:rsidR="00F52831">
        <w:rPr>
          <w:rFonts w:cstheme="minorHAnsi"/>
        </w:rPr>
        <w:t xml:space="preserve"> kao što je:</w:t>
      </w:r>
    </w:p>
    <w:p w14:paraId="5591589D" w14:textId="77777777" w:rsidR="00DB291D" w:rsidRDefault="00DB291D" w:rsidP="00F02BE0">
      <w:pPr>
        <w:spacing w:after="0"/>
        <w:rPr>
          <w:b/>
          <w:bCs/>
        </w:rPr>
      </w:pPr>
    </w:p>
    <w:p w14:paraId="4474E7B9" w14:textId="04268A39" w:rsidR="00F02BE0" w:rsidRPr="00CF2945" w:rsidRDefault="00F02BE0" w:rsidP="00F02BE0">
      <w:pPr>
        <w:spacing w:after="0"/>
        <w:rPr>
          <w:b/>
          <w:bCs/>
        </w:rPr>
      </w:pPr>
      <w:r w:rsidRPr="00CF2945">
        <w:rPr>
          <w:b/>
          <w:bCs/>
        </w:rPr>
        <w:t>PARKIRALIŠTE T-1</w:t>
      </w:r>
    </w:p>
    <w:p w14:paraId="4314D798" w14:textId="77777777" w:rsidR="00F02BE0" w:rsidRDefault="00F02BE0" w:rsidP="00F02BE0">
      <w:pPr>
        <w:pStyle w:val="Odlomakpopisa"/>
        <w:widowControl/>
        <w:numPr>
          <w:ilvl w:val="0"/>
          <w:numId w:val="33"/>
        </w:numPr>
        <w:autoSpaceDE/>
        <w:autoSpaceDN/>
        <w:contextualSpacing/>
        <w:jc w:val="both"/>
      </w:pPr>
      <w:r>
        <w:t xml:space="preserve">U 2025. godini u mjesecu travnju izvršeni su radovi ocrtavanja horizontalne signalizacije </w:t>
      </w:r>
    </w:p>
    <w:p w14:paraId="119FC20E" w14:textId="77777777" w:rsidR="00F02BE0" w:rsidRDefault="00F02BE0" w:rsidP="00F02BE0">
      <w:pPr>
        <w:pStyle w:val="Odlomakpopisa"/>
        <w:widowControl/>
        <w:numPr>
          <w:ilvl w:val="0"/>
          <w:numId w:val="33"/>
        </w:numPr>
        <w:autoSpaceDE/>
        <w:autoSpaceDN/>
        <w:contextualSpacing/>
        <w:jc w:val="both"/>
      </w:pPr>
      <w:r>
        <w:t>Bojali su se i postavili nedostajući lučni elementi te parking barijere</w:t>
      </w:r>
    </w:p>
    <w:p w14:paraId="38E452C7" w14:textId="77777777" w:rsidR="00F02BE0" w:rsidRDefault="00F02BE0" w:rsidP="00F02BE0">
      <w:pPr>
        <w:pStyle w:val="Odlomakpopisa"/>
        <w:widowControl/>
        <w:numPr>
          <w:ilvl w:val="0"/>
          <w:numId w:val="33"/>
        </w:numPr>
        <w:autoSpaceDE/>
        <w:autoSpaceDN/>
        <w:contextualSpacing/>
        <w:jc w:val="both"/>
      </w:pPr>
      <w:r>
        <w:t xml:space="preserve">Nadalje, odrađena je i sadnja 45 stabala na parkiralištu </w:t>
      </w:r>
    </w:p>
    <w:p w14:paraId="356DB01E" w14:textId="77777777" w:rsidR="00F02BE0" w:rsidRPr="00CF2945" w:rsidRDefault="00F02BE0" w:rsidP="00F02BE0">
      <w:pPr>
        <w:spacing w:after="0"/>
        <w:rPr>
          <w:b/>
          <w:bCs/>
        </w:rPr>
      </w:pPr>
      <w:r w:rsidRPr="00CF2945">
        <w:rPr>
          <w:b/>
          <w:bCs/>
        </w:rPr>
        <w:t>PARKIRALIŠTE RIBOLA</w:t>
      </w:r>
    </w:p>
    <w:p w14:paraId="3D7EFB68" w14:textId="77777777" w:rsidR="00F02BE0" w:rsidRDefault="00F02BE0" w:rsidP="00F02BE0">
      <w:pPr>
        <w:pStyle w:val="Odlomakpopisa"/>
        <w:widowControl/>
        <w:numPr>
          <w:ilvl w:val="0"/>
          <w:numId w:val="34"/>
        </w:numPr>
        <w:autoSpaceDE/>
        <w:autoSpaceDN/>
        <w:contextualSpacing/>
        <w:jc w:val="both"/>
      </w:pPr>
      <w:r>
        <w:t xml:space="preserve">izvršeni su radovi ocrtavanja horizontalne signalizacije </w:t>
      </w:r>
    </w:p>
    <w:p w14:paraId="4B7FA211" w14:textId="77777777" w:rsidR="00F02BE0" w:rsidRDefault="00F02BE0" w:rsidP="00F02BE0">
      <w:pPr>
        <w:pStyle w:val="Odlomakpopisa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jc w:val="both"/>
      </w:pPr>
      <w:r>
        <w:t>postavljena je nedostajuća verikalna signalizacija</w:t>
      </w:r>
    </w:p>
    <w:p w14:paraId="7A79457B" w14:textId="77777777" w:rsidR="00F02BE0" w:rsidRDefault="00F02BE0" w:rsidP="00F02BE0">
      <w:pPr>
        <w:pStyle w:val="Odlomakpopisa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jc w:val="both"/>
      </w:pPr>
      <w:r>
        <w:t xml:space="preserve">Odrađena je i sadnja 7 stabala na parkiralištu </w:t>
      </w:r>
    </w:p>
    <w:p w14:paraId="4C5AF61B" w14:textId="77777777" w:rsidR="00F02BE0" w:rsidRPr="00F02BE0" w:rsidRDefault="00F02BE0" w:rsidP="00F02BE0">
      <w:pPr>
        <w:spacing w:after="0"/>
        <w:rPr>
          <w:b/>
          <w:bCs/>
        </w:rPr>
      </w:pPr>
      <w:r w:rsidRPr="00F02BE0">
        <w:rPr>
          <w:b/>
          <w:bCs/>
        </w:rPr>
        <w:t>PARKIRALIŠTE T-3</w:t>
      </w:r>
    </w:p>
    <w:p w14:paraId="1AB701CB" w14:textId="77777777" w:rsidR="00F02BE0" w:rsidRDefault="00F02BE0" w:rsidP="00F02BE0">
      <w:pPr>
        <w:pStyle w:val="Odlomakpopisa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jc w:val="both"/>
      </w:pPr>
      <w:r>
        <w:t xml:space="preserve">izvršeni su radovi ocrtavanja horizontalne signalizacije </w:t>
      </w:r>
    </w:p>
    <w:p w14:paraId="79CC8D14" w14:textId="77777777" w:rsidR="00F02BE0" w:rsidRDefault="00F02BE0" w:rsidP="00F02BE0">
      <w:pPr>
        <w:pStyle w:val="Odlomakpopisa"/>
        <w:widowControl/>
        <w:numPr>
          <w:ilvl w:val="0"/>
          <w:numId w:val="34"/>
        </w:numPr>
        <w:autoSpaceDE/>
        <w:autoSpaceDN/>
        <w:spacing w:after="160" w:line="259" w:lineRule="auto"/>
        <w:contextualSpacing/>
        <w:jc w:val="both"/>
      </w:pPr>
      <w:r>
        <w:t xml:space="preserve">Odrađena je i sadnja 5 stabala na parkiralištu </w:t>
      </w:r>
    </w:p>
    <w:p w14:paraId="7D136DCE" w14:textId="77777777" w:rsidR="00F02BE0" w:rsidRDefault="00F02BE0" w:rsidP="00F02BE0">
      <w:pPr>
        <w:pStyle w:val="Bezproreda"/>
        <w:jc w:val="both"/>
      </w:pPr>
      <w:r>
        <w:lastRenderedPageBreak/>
        <w:t>N</w:t>
      </w:r>
      <w:r w:rsidRPr="00C57DE8">
        <w:t>a parkiralištima i u kontrolnoj sobi je bilo zaposleno ukupno 22 djelatnika .</w:t>
      </w:r>
    </w:p>
    <w:p w14:paraId="0544FDD3" w14:textId="77777777" w:rsidR="00DB291D" w:rsidRDefault="00DB291D" w:rsidP="00F02BE0">
      <w:pPr>
        <w:pStyle w:val="Bezproreda"/>
        <w:jc w:val="both"/>
      </w:pPr>
    </w:p>
    <w:p w14:paraId="61A1C5CC" w14:textId="77777777" w:rsidR="00DB291D" w:rsidRDefault="00DB291D" w:rsidP="00F02BE0">
      <w:pPr>
        <w:pStyle w:val="Bezproreda"/>
        <w:jc w:val="both"/>
      </w:pPr>
    </w:p>
    <w:p w14:paraId="6D6861DB" w14:textId="77777777" w:rsidR="00F02BE0" w:rsidRDefault="00F02BE0" w:rsidP="00F02BE0">
      <w:pPr>
        <w:pStyle w:val="Bezproreda"/>
        <w:jc w:val="both"/>
      </w:pPr>
    </w:p>
    <w:p w14:paraId="63633CAB" w14:textId="77777777" w:rsidR="00C114C4" w:rsidRPr="00132B34" w:rsidRDefault="00C114C4" w:rsidP="00C114C4">
      <w:pPr>
        <w:pStyle w:val="Bezprored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NAPLATA ZAKUPA PROSTORA NA TRŽNICI I RIBARNICI ZA 2025.G.</w:t>
      </w:r>
    </w:p>
    <w:p w14:paraId="711B4EF3" w14:textId="77777777" w:rsidR="00C114C4" w:rsidRPr="00132B34" w:rsidRDefault="00C114C4" w:rsidP="00C114C4">
      <w:pPr>
        <w:pStyle w:val="Bezproreda"/>
        <w:ind w:left="720"/>
        <w:jc w:val="both"/>
        <w:rPr>
          <w:rFonts w:cstheme="minorHAnsi"/>
        </w:rPr>
      </w:pPr>
    </w:p>
    <w:p w14:paraId="3FB0B085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Tijekom 2025. godine Trogir holding d.o.o. je obavljao naplatu zakupa prostora na tržnici i na ribarnici.</w:t>
      </w:r>
    </w:p>
    <w:p w14:paraId="7870BC0C" w14:textId="77777777" w:rsidR="00C114C4" w:rsidRPr="00132B3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 xml:space="preserve">Ostvareni  prihod od tržnice : </w:t>
      </w:r>
      <w:r w:rsidRPr="00132B34">
        <w:rPr>
          <w:rFonts w:cstheme="minorHAnsi"/>
        </w:rPr>
        <w:tab/>
        <w:t xml:space="preserve">   </w:t>
      </w:r>
      <w:r>
        <w:rPr>
          <w:rFonts w:cstheme="minorHAnsi"/>
        </w:rPr>
        <w:tab/>
        <w:t xml:space="preserve">   </w:t>
      </w:r>
      <w:r w:rsidRPr="00132B34"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32B34">
        <w:rPr>
          <w:rFonts w:cstheme="minorHAnsi"/>
        </w:rPr>
        <w:t>460.451,94 EUR</w:t>
      </w:r>
    </w:p>
    <w:p w14:paraId="17EB217B" w14:textId="77777777" w:rsidR="00C114C4" w:rsidRPr="00132B3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 w:rsidRPr="00132B34">
        <w:rPr>
          <w:rFonts w:cstheme="minorHAnsi"/>
        </w:rPr>
        <w:t xml:space="preserve">Ostvareni prihod od ribarnice :     </w:t>
      </w:r>
      <w:r w:rsidRPr="00132B34">
        <w:rPr>
          <w:rFonts w:cstheme="minorHAnsi"/>
        </w:rPr>
        <w:tab/>
        <w:t xml:space="preserve">     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Pr="00132B34">
        <w:rPr>
          <w:rFonts w:cstheme="minorHAnsi"/>
        </w:rPr>
        <w:t>42.908,20 EUR</w:t>
      </w:r>
    </w:p>
    <w:p w14:paraId="32702EBF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 xml:space="preserve">Troškovi poslovanja </w:t>
      </w:r>
      <w:r>
        <w:rPr>
          <w:rFonts w:cstheme="minorHAnsi"/>
        </w:rPr>
        <w:t xml:space="preserve"> i ulaganja </w:t>
      </w:r>
      <w:r w:rsidRPr="00132B34">
        <w:rPr>
          <w:rFonts w:cstheme="minorHAnsi"/>
        </w:rPr>
        <w:t>su iznosili :</w:t>
      </w:r>
    </w:p>
    <w:p w14:paraId="14BE1EAB" w14:textId="77777777" w:rsidR="00C114C4" w:rsidRPr="00132B3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>
        <w:rPr>
          <w:rFonts w:cstheme="minorHAnsi"/>
        </w:rPr>
        <w:t>Troškovi tržnice</w:t>
      </w:r>
      <w:r w:rsidRPr="00132B34">
        <w:rPr>
          <w:rFonts w:cstheme="minorHAnsi"/>
        </w:rPr>
        <w:t xml:space="preserve">:              </w:t>
      </w:r>
      <w:r w:rsidRPr="00132B34">
        <w:rPr>
          <w:rFonts w:cstheme="minorHAnsi"/>
        </w:rPr>
        <w:tab/>
      </w:r>
      <w:r w:rsidRPr="00132B34"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>300.233,26</w:t>
      </w:r>
      <w:r w:rsidRPr="00132B34">
        <w:rPr>
          <w:rFonts w:cstheme="minorHAnsi"/>
        </w:rPr>
        <w:t xml:space="preserve"> EUR</w:t>
      </w:r>
    </w:p>
    <w:p w14:paraId="5CAB5252" w14:textId="77777777" w:rsidR="00C114C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>
        <w:rPr>
          <w:rFonts w:cstheme="minorHAnsi"/>
        </w:rPr>
        <w:t>Troškovi</w:t>
      </w:r>
      <w:r w:rsidRPr="00132B34">
        <w:rPr>
          <w:rFonts w:cstheme="minorHAnsi"/>
        </w:rPr>
        <w:t xml:space="preserve"> ribarnic</w:t>
      </w:r>
      <w:r>
        <w:rPr>
          <w:rFonts w:cstheme="minorHAnsi"/>
        </w:rPr>
        <w:t>e</w:t>
      </w:r>
      <w:r w:rsidRPr="00132B34">
        <w:rPr>
          <w:rFonts w:cstheme="minorHAnsi"/>
        </w:rPr>
        <w:t xml:space="preserve"> :         </w:t>
      </w:r>
      <w:r w:rsidRPr="00132B34">
        <w:rPr>
          <w:rFonts w:cstheme="minorHAnsi"/>
        </w:rPr>
        <w:tab/>
      </w:r>
      <w:r w:rsidRPr="00132B34">
        <w:rPr>
          <w:rFonts w:cstheme="minorHAnsi"/>
        </w:rPr>
        <w:tab/>
      </w:r>
      <w:r>
        <w:rPr>
          <w:rFonts w:cstheme="minorHAnsi"/>
        </w:rPr>
        <w:t xml:space="preserve">  </w:t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 w:rsidRPr="00132B34">
        <w:rPr>
          <w:rFonts w:cstheme="minorHAnsi"/>
        </w:rPr>
        <w:t>65.694,21 EUR</w:t>
      </w:r>
    </w:p>
    <w:p w14:paraId="33820994" w14:textId="77777777" w:rsidR="00C114C4" w:rsidRDefault="00C114C4" w:rsidP="00C114C4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</w:rPr>
      </w:pPr>
      <w:r>
        <w:rPr>
          <w:rFonts w:cstheme="minorHAnsi"/>
        </w:rPr>
        <w:t>Troškovi  prikupljanja  otpada</w:t>
      </w:r>
      <w:r>
        <w:rPr>
          <w:rFonts w:cstheme="minorHAnsi"/>
        </w:rPr>
        <w:tab/>
        <w:t>(sa tržnice i ribarnice)    147.432,23 EUR</w:t>
      </w:r>
      <w:r>
        <w:rPr>
          <w:rFonts w:cstheme="minorHAnsi"/>
        </w:rPr>
        <w:tab/>
      </w:r>
    </w:p>
    <w:p w14:paraId="1EB63AED" w14:textId="77777777" w:rsidR="00C114C4" w:rsidRPr="00132B34" w:rsidRDefault="00C114C4" w:rsidP="00C114C4">
      <w:pPr>
        <w:pStyle w:val="Bezproreda"/>
        <w:jc w:val="both"/>
        <w:rPr>
          <w:rFonts w:cstheme="minorHAnsi"/>
        </w:rPr>
      </w:pPr>
      <w:r>
        <w:rPr>
          <w:rFonts w:cstheme="minorHAnsi"/>
        </w:rPr>
        <w:t>Broj zaposlenih na tržnici i ribarnici bio je 12</w:t>
      </w:r>
    </w:p>
    <w:p w14:paraId="4FFF4680" w14:textId="77777777" w:rsidR="00C114C4" w:rsidRPr="00132B34" w:rsidRDefault="00C114C4" w:rsidP="00C114C4">
      <w:pPr>
        <w:pStyle w:val="Bezproreda"/>
        <w:numPr>
          <w:ilvl w:val="0"/>
          <w:numId w:val="31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rFonts w:cstheme="minorHAnsi"/>
          <w:b/>
          <w:bCs/>
        </w:rPr>
      </w:pPr>
      <w:r w:rsidRPr="00132B34">
        <w:rPr>
          <w:rFonts w:cstheme="minorHAnsi"/>
          <w:b/>
          <w:bCs/>
        </w:rPr>
        <w:t>USLUGE UKOPA UNUTAR GROBLJA  ZA 2025.G.</w:t>
      </w:r>
    </w:p>
    <w:p w14:paraId="0F408361" w14:textId="77777777" w:rsidR="00C114C4" w:rsidRPr="00132B34" w:rsidRDefault="00C114C4" w:rsidP="00C114C4">
      <w:pPr>
        <w:pStyle w:val="Bezproreda"/>
        <w:ind w:left="1080"/>
        <w:jc w:val="both"/>
        <w:rPr>
          <w:rFonts w:cstheme="minorHAnsi"/>
          <w:b/>
          <w:bCs/>
        </w:rPr>
      </w:pPr>
    </w:p>
    <w:p w14:paraId="38FCE2C6" w14:textId="565CF6F7" w:rsidR="00C114C4" w:rsidRPr="00132B34" w:rsidRDefault="00C114C4" w:rsidP="00C114C4">
      <w:pPr>
        <w:pStyle w:val="Bezproreda"/>
        <w:jc w:val="both"/>
        <w:rPr>
          <w:rFonts w:cstheme="minorHAnsi"/>
        </w:rPr>
      </w:pPr>
      <w:r w:rsidRPr="00132B34">
        <w:rPr>
          <w:rFonts w:cstheme="minorHAnsi"/>
        </w:rPr>
        <w:t>Tijekom 202</w:t>
      </w:r>
      <w:r>
        <w:rPr>
          <w:rFonts w:cstheme="minorHAnsi"/>
        </w:rPr>
        <w:t>5</w:t>
      </w:r>
      <w:r w:rsidRPr="00132B34">
        <w:rPr>
          <w:rFonts w:cstheme="minorHAnsi"/>
        </w:rPr>
        <w:t xml:space="preserve">. godine Trogir holding d.o.o. je obavljao  ukope unutar Gradskog groblja </w:t>
      </w:r>
      <w:r>
        <w:rPr>
          <w:rFonts w:cstheme="minorHAnsi"/>
        </w:rPr>
        <w:t xml:space="preserve">u Trogiru, </w:t>
      </w:r>
      <w:r w:rsidRPr="00132B34">
        <w:rPr>
          <w:rFonts w:cstheme="minorHAnsi"/>
        </w:rPr>
        <w:t>vršio naplatu grobne naknade</w:t>
      </w:r>
      <w:r>
        <w:rPr>
          <w:rFonts w:cstheme="minorHAnsi"/>
        </w:rPr>
        <w:t>. O</w:t>
      </w:r>
      <w:r w:rsidRPr="00132B34">
        <w:rPr>
          <w:rFonts w:cstheme="minorHAnsi"/>
        </w:rPr>
        <w:t>stvareni</w:t>
      </w:r>
      <w:r>
        <w:rPr>
          <w:rFonts w:cstheme="minorHAnsi"/>
        </w:rPr>
        <w:t xml:space="preserve"> su</w:t>
      </w:r>
      <w:r w:rsidRPr="00132B34">
        <w:rPr>
          <w:rFonts w:cstheme="minorHAnsi"/>
        </w:rPr>
        <w:t xml:space="preserve"> ukupn</w:t>
      </w:r>
      <w:r>
        <w:rPr>
          <w:rFonts w:cstheme="minorHAnsi"/>
        </w:rPr>
        <w:t>i</w:t>
      </w:r>
      <w:r w:rsidRPr="00132B34">
        <w:rPr>
          <w:rFonts w:cstheme="minorHAnsi"/>
        </w:rPr>
        <w:t xml:space="preserve"> prihodi u iznosu od 65.911,52 EUR, a troškovi za obavljanje spomenutih poslova su iznosili  83.866,98 EUR.</w:t>
      </w:r>
      <w:r w:rsidR="00734B18">
        <w:rPr>
          <w:rFonts w:cstheme="minorHAnsi"/>
        </w:rPr>
        <w:t xml:space="preserve"> </w:t>
      </w:r>
      <w:r>
        <w:rPr>
          <w:rFonts w:cstheme="minorHAnsi"/>
        </w:rPr>
        <w:t>Broj zaposlenih u radnoj jedinici groblje je 4.</w:t>
      </w:r>
    </w:p>
    <w:p w14:paraId="1C0C51F7" w14:textId="77777777" w:rsidR="007C3960" w:rsidRDefault="007C3960" w:rsidP="00833C5B">
      <w:pPr>
        <w:pStyle w:val="Bezproreda"/>
        <w:jc w:val="both"/>
      </w:pPr>
    </w:p>
    <w:p w14:paraId="6970E40E" w14:textId="3685BAD8" w:rsidR="00833C5B" w:rsidRDefault="00833C5B" w:rsidP="00AE2D74">
      <w:pPr>
        <w:pStyle w:val="Bezproreda"/>
        <w:ind w:left="72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1D181E2" w14:textId="3AAA66BA" w:rsidR="00D75D0F" w:rsidRPr="007D04E0" w:rsidRDefault="00AA6F95" w:rsidP="00E659DA">
      <w:pPr>
        <w:jc w:val="both"/>
        <w:rPr>
          <w:rFonts w:cstheme="minorHAnsi"/>
          <w:color w:val="CC9900"/>
          <w:sz w:val="32"/>
          <w:szCs w:val="32"/>
        </w:rPr>
      </w:pPr>
      <w:r w:rsidRPr="007D04E0">
        <w:rPr>
          <w:rFonts w:cstheme="minorHAnsi"/>
          <w:color w:val="CC9900"/>
          <w:sz w:val="32"/>
          <w:szCs w:val="32"/>
        </w:rPr>
        <w:t xml:space="preserve">IZVRŠENI POSLOVI U </w:t>
      </w:r>
      <w:r w:rsidR="009A1CD5" w:rsidRPr="007D04E0">
        <w:rPr>
          <w:rFonts w:cstheme="minorHAnsi"/>
          <w:color w:val="CC9900"/>
          <w:sz w:val="32"/>
          <w:szCs w:val="32"/>
        </w:rPr>
        <w:t>SEKTORU</w:t>
      </w:r>
      <w:r w:rsidRPr="007D04E0">
        <w:rPr>
          <w:rFonts w:cstheme="minorHAnsi"/>
          <w:color w:val="CC9900"/>
          <w:sz w:val="32"/>
          <w:szCs w:val="32"/>
        </w:rPr>
        <w:t xml:space="preserve"> PRIKUPLJANJA OTPADA</w:t>
      </w:r>
    </w:p>
    <w:p w14:paraId="6F79537B" w14:textId="2F45AFE0" w:rsidR="00AA6F95" w:rsidRPr="00DA5EE4" w:rsidRDefault="00AA6F95" w:rsidP="00E659DA">
      <w:pPr>
        <w:jc w:val="both"/>
        <w:rPr>
          <w:rFonts w:cstheme="minorHAnsi"/>
        </w:rPr>
      </w:pPr>
      <w:r w:rsidRPr="00DA5EE4">
        <w:rPr>
          <w:rFonts w:cstheme="minorHAnsi"/>
        </w:rPr>
        <w:t xml:space="preserve">Odjel prikupljanja otpada, radna jedinica </w:t>
      </w:r>
      <w:r w:rsidR="00C32197" w:rsidRPr="00DA5EE4">
        <w:rPr>
          <w:rFonts w:cstheme="minorHAnsi"/>
        </w:rPr>
        <w:t>upravljanje odlagalištem</w:t>
      </w:r>
      <w:r w:rsidR="00684675" w:rsidRPr="00DA5EE4">
        <w:rPr>
          <w:rFonts w:cstheme="minorHAnsi"/>
        </w:rPr>
        <w:t>,</w:t>
      </w:r>
      <w:r w:rsidRPr="00DA5EE4">
        <w:rPr>
          <w:rFonts w:cstheme="minorHAnsi"/>
        </w:rPr>
        <w:t xml:space="preserve"> radna jedinica </w:t>
      </w:r>
      <w:proofErr w:type="spellStart"/>
      <w:r w:rsidRPr="00DA5EE4">
        <w:rPr>
          <w:rFonts w:cstheme="minorHAnsi"/>
        </w:rPr>
        <w:t>reciklažno</w:t>
      </w:r>
      <w:proofErr w:type="spellEnd"/>
      <w:r w:rsidR="009A1CD5" w:rsidRPr="00DA5EE4">
        <w:rPr>
          <w:rFonts w:cstheme="minorHAnsi"/>
        </w:rPr>
        <w:t xml:space="preserve"> dvorište </w:t>
      </w:r>
      <w:r w:rsidR="00684675" w:rsidRPr="00DA5EE4">
        <w:rPr>
          <w:rFonts w:cstheme="minorHAnsi"/>
        </w:rPr>
        <w:t xml:space="preserve"> i odjel zaštite okoliša i EU fondova </w:t>
      </w:r>
      <w:r w:rsidR="009A1CD5" w:rsidRPr="00DA5EE4">
        <w:rPr>
          <w:rFonts w:cstheme="minorHAnsi"/>
        </w:rPr>
        <w:t>su poslovne jedinice u Trogir holdingu u kojima se najviše aktivnosti i poslova dog</w:t>
      </w:r>
      <w:r w:rsidR="00572B31" w:rsidRPr="00DA5EE4">
        <w:rPr>
          <w:rFonts w:cstheme="minorHAnsi"/>
        </w:rPr>
        <w:t>ađalo</w:t>
      </w:r>
      <w:r w:rsidR="009A1CD5" w:rsidRPr="00DA5EE4">
        <w:rPr>
          <w:rFonts w:cstheme="minorHAnsi"/>
        </w:rPr>
        <w:t xml:space="preserve"> </w:t>
      </w:r>
      <w:r w:rsidR="00E11405" w:rsidRPr="00DA5EE4">
        <w:rPr>
          <w:rFonts w:cstheme="minorHAnsi"/>
        </w:rPr>
        <w:t xml:space="preserve">i </w:t>
      </w:r>
      <w:r w:rsidR="009A1CD5" w:rsidRPr="00DA5EE4">
        <w:rPr>
          <w:rFonts w:cstheme="minorHAnsi"/>
        </w:rPr>
        <w:t>u 202</w:t>
      </w:r>
      <w:r w:rsidR="00351833">
        <w:rPr>
          <w:rFonts w:cstheme="minorHAnsi"/>
        </w:rPr>
        <w:t>5</w:t>
      </w:r>
      <w:r w:rsidR="009A1CD5" w:rsidRPr="00DA5EE4">
        <w:rPr>
          <w:rFonts w:cstheme="minorHAnsi"/>
        </w:rPr>
        <w:t>. godini.</w:t>
      </w:r>
    </w:p>
    <w:p w14:paraId="514365D9" w14:textId="161BEA43" w:rsidR="00AE2D74" w:rsidRPr="002E533F" w:rsidRDefault="00C32197" w:rsidP="002E533F">
      <w:pPr>
        <w:jc w:val="both"/>
        <w:rPr>
          <w:rFonts w:cstheme="minorHAnsi"/>
          <w:b/>
          <w:bCs/>
        </w:rPr>
      </w:pPr>
      <w:r w:rsidRPr="00AF02A5">
        <w:rPr>
          <w:rFonts w:cstheme="minorHAnsi"/>
          <w:b/>
          <w:bCs/>
        </w:rPr>
        <w:t>ODJEL PRIKUPLJANJA OTPAD</w:t>
      </w:r>
      <w:r w:rsidR="00E11405" w:rsidRPr="00AF02A5">
        <w:rPr>
          <w:rFonts w:cstheme="minorHAnsi"/>
          <w:b/>
          <w:bCs/>
        </w:rPr>
        <w:t>A</w:t>
      </w:r>
    </w:p>
    <w:p w14:paraId="1FC0BA4A" w14:textId="12DADAF6" w:rsidR="00AE2D74" w:rsidRPr="00AF02A5" w:rsidRDefault="00AE2D74" w:rsidP="00AE2D74">
      <w:pPr>
        <w:spacing w:after="0"/>
        <w:jc w:val="both"/>
        <w:rPr>
          <w:noProof/>
        </w:rPr>
      </w:pPr>
      <w:r w:rsidRPr="00AF02A5">
        <w:rPr>
          <w:noProof/>
        </w:rPr>
        <w:t>Još uvijek su tijekom cijele godine, a posebno u ljetnim mjesecima prisutne velike količine nelegalno odloženog otpada po javnim površinama i oko spremnika</w:t>
      </w:r>
      <w:r w:rsidR="001853C1" w:rsidRPr="00AF02A5">
        <w:rPr>
          <w:noProof/>
        </w:rPr>
        <w:t xml:space="preserve"> na javnim površinama radi čega se broj odvoza organizira svakodnevno iako to s obzirom na ukupnu količinu otpada nije potrebno što povećava materijalne troškove društva, kao i potrebu za dodatnom radnom snagom.</w:t>
      </w:r>
    </w:p>
    <w:p w14:paraId="60CE0DB0" w14:textId="313EAFFB" w:rsidR="001853C1" w:rsidRDefault="001853C1" w:rsidP="00AE2D74">
      <w:pPr>
        <w:spacing w:after="0"/>
        <w:jc w:val="both"/>
        <w:rPr>
          <w:noProof/>
        </w:rPr>
      </w:pPr>
      <w:r w:rsidRPr="00AF02A5">
        <w:rPr>
          <w:noProof/>
        </w:rPr>
        <w:t>Prema procjenama društva količina nelegalno odloženog otpada kreće se od 20-25 % u zimskim, te 30-35 % u ljetnim mjesecima naročito u turistički intezivnim predjelima Grada, kao i po plažama.</w:t>
      </w:r>
    </w:p>
    <w:p w14:paraId="6459B65B" w14:textId="77777777" w:rsidR="002E533F" w:rsidRDefault="002E533F" w:rsidP="00AE2D74">
      <w:pPr>
        <w:spacing w:after="0"/>
        <w:jc w:val="both"/>
        <w:rPr>
          <w:noProof/>
        </w:rPr>
      </w:pPr>
    </w:p>
    <w:p w14:paraId="157FF413" w14:textId="62D56F90" w:rsidR="00816DB3" w:rsidRPr="00A373A8" w:rsidRDefault="00816DB3" w:rsidP="00AE2D74">
      <w:pPr>
        <w:spacing w:after="0"/>
        <w:jc w:val="both"/>
        <w:rPr>
          <w:noProof/>
        </w:rPr>
      </w:pPr>
      <w:r w:rsidRPr="00A373A8">
        <w:rPr>
          <w:noProof/>
        </w:rPr>
        <w:t>Potrebno je napomenuti da se u 2025. godin</w:t>
      </w:r>
      <w:r w:rsidR="002E533F" w:rsidRPr="00A373A8">
        <w:rPr>
          <w:noProof/>
        </w:rPr>
        <w:t>i</w:t>
      </w:r>
      <w:r w:rsidRPr="00A373A8">
        <w:rPr>
          <w:noProof/>
        </w:rPr>
        <w:t xml:space="preserve"> nastavio trend porasta kako materijalnih troškova, tako i povećanje troškova za usluge zbrinj</w:t>
      </w:r>
      <w:r w:rsidR="00734B18" w:rsidRPr="00A373A8">
        <w:rPr>
          <w:noProof/>
        </w:rPr>
        <w:t>a</w:t>
      </w:r>
      <w:r w:rsidRPr="00A373A8">
        <w:rPr>
          <w:noProof/>
        </w:rPr>
        <w:t>vanja otpada. Naime, osim odlaganja i zbrin</w:t>
      </w:r>
      <w:r w:rsidR="00734B18" w:rsidRPr="00A373A8">
        <w:rPr>
          <w:noProof/>
        </w:rPr>
        <w:t>ja</w:t>
      </w:r>
      <w:r w:rsidRPr="00A373A8">
        <w:rPr>
          <w:noProof/>
        </w:rPr>
        <w:t>vanja miješanog komunalnog otpada Trogir holding ima sklopljene ugovore za zbrinjava</w:t>
      </w:r>
      <w:r w:rsidR="00401516" w:rsidRPr="00A373A8">
        <w:rPr>
          <w:noProof/>
        </w:rPr>
        <w:t>nje odvojeno sakupljenog otpada ( glomazni</w:t>
      </w:r>
      <w:r w:rsidR="0028219D" w:rsidRPr="00A373A8">
        <w:rPr>
          <w:noProof/>
        </w:rPr>
        <w:t>, građevinski</w:t>
      </w:r>
      <w:r w:rsidR="00401516" w:rsidRPr="00A373A8">
        <w:rPr>
          <w:noProof/>
        </w:rPr>
        <w:t xml:space="preserve"> otpad i recikalbilni otpad). Radi usporedbe troškovi zbrinjavanja glomaznog otpada su tijekom 2025. godine </w:t>
      </w:r>
      <w:r w:rsidR="00734B18" w:rsidRPr="00A373A8">
        <w:rPr>
          <w:noProof/>
        </w:rPr>
        <w:t>po</w:t>
      </w:r>
      <w:r w:rsidR="00401516" w:rsidRPr="00A373A8">
        <w:rPr>
          <w:noProof/>
        </w:rPr>
        <w:t>većani sa 120,00 e</w:t>
      </w:r>
      <w:r w:rsidR="00734B18" w:rsidRPr="00A373A8">
        <w:rPr>
          <w:noProof/>
        </w:rPr>
        <w:t>ura</w:t>
      </w:r>
      <w:r w:rsidR="00401516" w:rsidRPr="00A373A8">
        <w:rPr>
          <w:noProof/>
        </w:rPr>
        <w:t xml:space="preserve"> po toni na oko 300,00 e</w:t>
      </w:r>
      <w:r w:rsidR="00734B18" w:rsidRPr="00A373A8">
        <w:rPr>
          <w:noProof/>
        </w:rPr>
        <w:t>ura</w:t>
      </w:r>
      <w:r w:rsidR="00401516" w:rsidRPr="00A373A8">
        <w:rPr>
          <w:noProof/>
        </w:rPr>
        <w:t xml:space="preserve"> po toni. Troškovi zbrin</w:t>
      </w:r>
      <w:r w:rsidR="00734B18" w:rsidRPr="00A373A8">
        <w:rPr>
          <w:noProof/>
        </w:rPr>
        <w:t>ja</w:t>
      </w:r>
      <w:r w:rsidR="00401516" w:rsidRPr="00A373A8">
        <w:rPr>
          <w:noProof/>
        </w:rPr>
        <w:t xml:space="preserve">vanja reciklabilnog otpada su isto povećani u prosjeku za  45,00 %. </w:t>
      </w:r>
    </w:p>
    <w:p w14:paraId="176A8C44" w14:textId="2B93AA8E" w:rsidR="00401516" w:rsidRPr="00A373A8" w:rsidRDefault="00401516" w:rsidP="00AE2D74">
      <w:pPr>
        <w:spacing w:after="0"/>
        <w:jc w:val="both"/>
        <w:rPr>
          <w:noProof/>
        </w:rPr>
      </w:pPr>
      <w:r w:rsidRPr="00A373A8">
        <w:rPr>
          <w:noProof/>
        </w:rPr>
        <w:t>Isto tako se tijekom protekle godine nastavilo sa nabavkom nove komunalne opreme ( spremnici, oprema za evidenciju broj</w:t>
      </w:r>
      <w:r w:rsidR="00734B18" w:rsidRPr="00A373A8">
        <w:rPr>
          <w:noProof/>
        </w:rPr>
        <w:t>a</w:t>
      </w:r>
      <w:r w:rsidRPr="00A373A8">
        <w:rPr>
          <w:noProof/>
        </w:rPr>
        <w:t xml:space="preserve"> sakupljanja i pražnjenja otpada, komunalna vozila i dr.)</w:t>
      </w:r>
    </w:p>
    <w:p w14:paraId="552C18A2" w14:textId="7EDD6D69" w:rsidR="00401516" w:rsidRPr="00AE44C7" w:rsidRDefault="00401516" w:rsidP="00AE2D74">
      <w:pPr>
        <w:spacing w:after="0"/>
        <w:jc w:val="both"/>
        <w:rPr>
          <w:noProof/>
        </w:rPr>
      </w:pPr>
      <w:r w:rsidRPr="00AE44C7">
        <w:rPr>
          <w:noProof/>
        </w:rPr>
        <w:t>Nabavljeno je novo komunalno vozilo putem fina</w:t>
      </w:r>
      <w:r w:rsidR="00A373A8" w:rsidRPr="00AE44C7">
        <w:rPr>
          <w:noProof/>
        </w:rPr>
        <w:t>n</w:t>
      </w:r>
      <w:r w:rsidRPr="00AE44C7">
        <w:rPr>
          <w:noProof/>
        </w:rPr>
        <w:t xml:space="preserve">cijskog leasinga u vrijednsoti 215.000,00 </w:t>
      </w:r>
      <w:r w:rsidR="00A373A8" w:rsidRPr="00AE44C7">
        <w:rPr>
          <w:noProof/>
        </w:rPr>
        <w:t>eur</w:t>
      </w:r>
      <w:r w:rsidRPr="00AE44C7">
        <w:rPr>
          <w:noProof/>
        </w:rPr>
        <w:t>a, novi spremnici za otpad u vrijedn</w:t>
      </w:r>
      <w:r w:rsidR="00734B18" w:rsidRPr="00AE44C7">
        <w:rPr>
          <w:noProof/>
        </w:rPr>
        <w:t xml:space="preserve">osti </w:t>
      </w:r>
      <w:r w:rsidRPr="00AE44C7">
        <w:rPr>
          <w:noProof/>
        </w:rPr>
        <w:t>od 16.404,94</w:t>
      </w:r>
      <w:r w:rsidR="00A373A8" w:rsidRPr="00AE44C7">
        <w:rPr>
          <w:noProof/>
        </w:rPr>
        <w:t xml:space="preserve"> eura</w:t>
      </w:r>
      <w:r w:rsidRPr="00AE44C7">
        <w:rPr>
          <w:noProof/>
        </w:rPr>
        <w:t>, te uređaji za propoznavanje vrećica „sm</w:t>
      </w:r>
      <w:r w:rsidR="008F537A" w:rsidRPr="00AE44C7">
        <w:rPr>
          <w:noProof/>
        </w:rPr>
        <w:t>a</w:t>
      </w:r>
      <w:r w:rsidRPr="00AE44C7">
        <w:rPr>
          <w:noProof/>
        </w:rPr>
        <w:t xml:space="preserve">rtbag“ koji su ugrađeni na polupodzemne spremnike </w:t>
      </w:r>
      <w:r w:rsidR="00734B18" w:rsidRPr="00AE44C7">
        <w:rPr>
          <w:noProof/>
        </w:rPr>
        <w:t>kao zamjena za</w:t>
      </w:r>
      <w:r w:rsidRPr="00AE44C7">
        <w:rPr>
          <w:noProof/>
        </w:rPr>
        <w:t xml:space="preserve">  otpadomjer</w:t>
      </w:r>
      <w:r w:rsidR="00734B18" w:rsidRPr="00AE44C7">
        <w:rPr>
          <w:noProof/>
        </w:rPr>
        <w:t>e</w:t>
      </w:r>
      <w:r w:rsidRPr="00AE44C7">
        <w:rPr>
          <w:noProof/>
        </w:rPr>
        <w:t xml:space="preserve"> </w:t>
      </w:r>
      <w:r w:rsidR="008F537A" w:rsidRPr="00AE44C7">
        <w:rPr>
          <w:noProof/>
        </w:rPr>
        <w:t xml:space="preserve">u vrijednosti od 56.602,55 </w:t>
      </w:r>
      <w:r w:rsidR="008F537A" w:rsidRPr="00AE44C7">
        <w:rPr>
          <w:noProof/>
        </w:rPr>
        <w:lastRenderedPageBreak/>
        <w:t>eura. Nova oprema je ugrađena krajem 20</w:t>
      </w:r>
      <w:r w:rsidR="00A373A8" w:rsidRPr="00AE44C7">
        <w:rPr>
          <w:noProof/>
        </w:rPr>
        <w:t>2</w:t>
      </w:r>
      <w:r w:rsidR="008F537A" w:rsidRPr="00AE44C7">
        <w:rPr>
          <w:noProof/>
        </w:rPr>
        <w:t>5.godine i</w:t>
      </w:r>
      <w:r w:rsidR="00734B18" w:rsidRPr="00AE44C7">
        <w:rPr>
          <w:noProof/>
        </w:rPr>
        <w:t xml:space="preserve"> već se</w:t>
      </w:r>
      <w:r w:rsidR="008F537A" w:rsidRPr="00AE44C7">
        <w:rPr>
          <w:noProof/>
        </w:rPr>
        <w:t xml:space="preserve"> pokazalo  da je evidencija broja ubačaja veća, a servisiranje istih se svelo na minimalno.</w:t>
      </w:r>
    </w:p>
    <w:p w14:paraId="1E0C0AA9" w14:textId="5CE78B32" w:rsidR="008F537A" w:rsidRPr="00DB4282" w:rsidRDefault="008F537A" w:rsidP="00AE2D74">
      <w:pPr>
        <w:spacing w:after="0"/>
        <w:jc w:val="both"/>
        <w:rPr>
          <w:noProof/>
        </w:rPr>
      </w:pPr>
      <w:r w:rsidRPr="00DB4282">
        <w:rPr>
          <w:noProof/>
        </w:rPr>
        <w:t xml:space="preserve">Potrebno je </w:t>
      </w:r>
      <w:r w:rsidR="00AE44C7" w:rsidRPr="00DB4282">
        <w:rPr>
          <w:noProof/>
        </w:rPr>
        <w:t>istać</w:t>
      </w:r>
      <w:r w:rsidRPr="00DB4282">
        <w:rPr>
          <w:noProof/>
        </w:rPr>
        <w:t>i</w:t>
      </w:r>
      <w:r w:rsidR="00AE44C7" w:rsidRPr="00DB4282">
        <w:rPr>
          <w:noProof/>
        </w:rPr>
        <w:t xml:space="preserve"> da</w:t>
      </w:r>
      <w:r w:rsidRPr="00DB4282">
        <w:rPr>
          <w:noProof/>
        </w:rPr>
        <w:t xml:space="preserve"> p</w:t>
      </w:r>
      <w:r w:rsidR="00734B18" w:rsidRPr="00DB4282">
        <w:rPr>
          <w:noProof/>
        </w:rPr>
        <w:t>ored</w:t>
      </w:r>
      <w:r w:rsidRPr="00DB4282">
        <w:rPr>
          <w:noProof/>
        </w:rPr>
        <w:t xml:space="preserve"> toga što se vozni park </w:t>
      </w:r>
      <w:r w:rsidR="00DB4282" w:rsidRPr="00DB4282">
        <w:rPr>
          <w:noProof/>
        </w:rPr>
        <w:t xml:space="preserve">redovno </w:t>
      </w:r>
      <w:r w:rsidRPr="00DB4282">
        <w:rPr>
          <w:noProof/>
        </w:rPr>
        <w:t>ob</w:t>
      </w:r>
      <w:r w:rsidR="00734B18" w:rsidRPr="00DB4282">
        <w:rPr>
          <w:noProof/>
        </w:rPr>
        <w:t>na</w:t>
      </w:r>
      <w:r w:rsidRPr="00DB4282">
        <w:rPr>
          <w:noProof/>
        </w:rPr>
        <w:t xml:space="preserve">vlja u prethodnom periodu, ipak dolazi </w:t>
      </w:r>
      <w:r w:rsidR="00DB4282" w:rsidRPr="00DB4282">
        <w:rPr>
          <w:noProof/>
        </w:rPr>
        <w:t xml:space="preserve">do </w:t>
      </w:r>
      <w:r w:rsidRPr="00DB4282">
        <w:rPr>
          <w:noProof/>
        </w:rPr>
        <w:t>potrebe za kako redovnim servisima, tako i učest</w:t>
      </w:r>
      <w:r w:rsidR="00734B18" w:rsidRPr="00DB4282">
        <w:rPr>
          <w:noProof/>
        </w:rPr>
        <w:t>a</w:t>
      </w:r>
      <w:r w:rsidRPr="00DB4282">
        <w:rPr>
          <w:noProof/>
        </w:rPr>
        <w:t>l</w:t>
      </w:r>
      <w:r w:rsidR="00DB4282" w:rsidRPr="00DB4282">
        <w:rPr>
          <w:noProof/>
        </w:rPr>
        <w:t>im</w:t>
      </w:r>
      <w:r w:rsidRPr="00DB4282">
        <w:rPr>
          <w:noProof/>
        </w:rPr>
        <w:t xml:space="preserve"> izvanrednih poprav</w:t>
      </w:r>
      <w:r w:rsidR="00DB4282" w:rsidRPr="00DB4282">
        <w:rPr>
          <w:noProof/>
        </w:rPr>
        <w:t>cima</w:t>
      </w:r>
      <w:r w:rsidRPr="00DB4282">
        <w:rPr>
          <w:noProof/>
        </w:rPr>
        <w:t xml:space="preserve"> vozila, što je vidljivo i po tome što su troškovi servia vozila u 2025. godin iznosili 105.927,50 eura.</w:t>
      </w:r>
    </w:p>
    <w:p w14:paraId="3EBD1D19" w14:textId="77777777" w:rsidR="005151C6" w:rsidRPr="00AF02A5" w:rsidRDefault="005151C6" w:rsidP="005151C6">
      <w:pPr>
        <w:spacing w:after="0"/>
        <w:jc w:val="both"/>
        <w:rPr>
          <w:noProof/>
        </w:rPr>
      </w:pPr>
    </w:p>
    <w:p w14:paraId="7E8B4235" w14:textId="39D3DBA6" w:rsidR="000B2EAF" w:rsidRDefault="00AF02A5" w:rsidP="00AE2D74">
      <w:pPr>
        <w:jc w:val="both"/>
      </w:pPr>
      <w:r w:rsidRPr="00AF02A5">
        <w:t xml:space="preserve">Tijekom 2025. godine </w:t>
      </w:r>
      <w:r w:rsidR="000B2EAF" w:rsidRPr="00AF02A5">
        <w:t xml:space="preserve">povećao se </w:t>
      </w:r>
      <w:r w:rsidRPr="00AF02A5">
        <w:t>broj korisnika javne usluge</w:t>
      </w:r>
      <w:r w:rsidR="00FB6220" w:rsidRPr="00AF02A5">
        <w:t>,</w:t>
      </w:r>
      <w:r w:rsidR="000B2EAF" w:rsidRPr="00AF02A5">
        <w:t xml:space="preserve"> što je rezultiralo porastom prihoda od sakupljanja komunalnog otpada. U 202</w:t>
      </w:r>
      <w:r w:rsidR="00351833" w:rsidRPr="00AF02A5">
        <w:t>5</w:t>
      </w:r>
      <w:r w:rsidR="000B2EAF" w:rsidRPr="00AF02A5">
        <w:t xml:space="preserve">. godini  prihod od sakupljanja otpada iznosio je </w:t>
      </w:r>
      <w:r w:rsidR="00351833" w:rsidRPr="00AF02A5">
        <w:t>1</w:t>
      </w:r>
      <w:r w:rsidR="00DD576B" w:rsidRPr="00AF02A5">
        <w:t>.</w:t>
      </w:r>
      <w:r w:rsidR="00351833" w:rsidRPr="00AF02A5">
        <w:t>445</w:t>
      </w:r>
      <w:r w:rsidR="00DD576B" w:rsidRPr="00AF02A5">
        <w:t>.</w:t>
      </w:r>
      <w:r w:rsidR="00351833" w:rsidRPr="00AF02A5">
        <w:t xml:space="preserve">979,13 </w:t>
      </w:r>
      <w:r w:rsidR="000B2EAF" w:rsidRPr="00AF02A5">
        <w:t>eura što je za</w:t>
      </w:r>
      <w:r w:rsidR="00351833" w:rsidRPr="00AF02A5">
        <w:t xml:space="preserve"> 51.716,06 </w:t>
      </w:r>
      <w:r w:rsidR="000B2EAF" w:rsidRPr="00AF02A5">
        <w:t>eura više u odnosu na 202</w:t>
      </w:r>
      <w:r w:rsidR="00351833" w:rsidRPr="00AF02A5">
        <w:t>4</w:t>
      </w:r>
      <w:r w:rsidR="000B2EAF" w:rsidRPr="00AF02A5">
        <w:t xml:space="preserve">. godinu ili </w:t>
      </w:r>
      <w:r w:rsidR="00351833" w:rsidRPr="00AF02A5">
        <w:t>3,70</w:t>
      </w:r>
      <w:r w:rsidR="000B2EAF" w:rsidRPr="00AF02A5">
        <w:t xml:space="preserve"> %</w:t>
      </w:r>
      <w:r w:rsidRPr="00AF02A5">
        <w:t xml:space="preserve">, što nije bilo dostatno za pokriće troškova nastalih u odjelu prikupljanja otpada </w:t>
      </w:r>
      <w:r w:rsidR="000B2EAF" w:rsidRPr="00AF02A5">
        <w:t>.</w:t>
      </w:r>
    </w:p>
    <w:p w14:paraId="298B8D12" w14:textId="2173C242" w:rsidR="00D73DE1" w:rsidRPr="00840AA8" w:rsidRDefault="00BC43B0" w:rsidP="00D73DE1">
      <w:pPr>
        <w:spacing w:after="0"/>
        <w:jc w:val="both"/>
        <w:rPr>
          <w:color w:val="000000" w:themeColor="text1"/>
        </w:rPr>
      </w:pPr>
      <w:r w:rsidRPr="00840AA8">
        <w:rPr>
          <w:color w:val="000000" w:themeColor="text1"/>
        </w:rPr>
        <w:t>U odj</w:t>
      </w:r>
      <w:r w:rsidR="00D73DE1" w:rsidRPr="00840AA8">
        <w:rPr>
          <w:color w:val="000000" w:themeColor="text1"/>
        </w:rPr>
        <w:t>elu prikupljanja otpada bilo je zaposleno ukupno 36 djelatnika</w:t>
      </w:r>
      <w:r w:rsidR="00AF02A5">
        <w:rPr>
          <w:color w:val="000000" w:themeColor="text1"/>
        </w:rPr>
        <w:t>, a troškovi poslovanja su iznosili:</w:t>
      </w:r>
    </w:p>
    <w:p w14:paraId="56E40590" w14:textId="77777777" w:rsidR="00FB6220" w:rsidRPr="00840AA8" w:rsidRDefault="00FB6220" w:rsidP="00D73DE1">
      <w:pPr>
        <w:spacing w:after="0"/>
        <w:jc w:val="both"/>
        <w:rPr>
          <w:color w:val="000000" w:themeColor="text1"/>
        </w:rPr>
      </w:pPr>
    </w:p>
    <w:p w14:paraId="74717008" w14:textId="0ED85158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DD576B">
        <w:rPr>
          <w:color w:val="000000" w:themeColor="text1"/>
        </w:rPr>
        <w:t>597.785,70</w:t>
      </w:r>
      <w:r w:rsidRPr="00840AA8">
        <w:rPr>
          <w:color w:val="000000" w:themeColor="text1"/>
        </w:rPr>
        <w:t xml:space="preserve"> EUR</w:t>
      </w:r>
    </w:p>
    <w:p w14:paraId="3EE3DD1D" w14:textId="2C02C068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Materijalni troškovi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>1</w:t>
      </w:r>
      <w:r w:rsidR="00DD576B">
        <w:rPr>
          <w:color w:val="000000" w:themeColor="text1"/>
        </w:rPr>
        <w:t>12.578,42</w:t>
      </w:r>
      <w:r w:rsidRPr="00840AA8">
        <w:rPr>
          <w:color w:val="000000" w:themeColor="text1"/>
        </w:rPr>
        <w:t>EUR</w:t>
      </w:r>
    </w:p>
    <w:p w14:paraId="46A68544" w14:textId="031248FE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amortizacije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DD576B">
        <w:rPr>
          <w:color w:val="000000" w:themeColor="text1"/>
        </w:rPr>
        <w:t>279.699,63</w:t>
      </w:r>
      <w:r w:rsidRPr="00840AA8">
        <w:rPr>
          <w:color w:val="000000" w:themeColor="text1"/>
        </w:rPr>
        <w:t xml:space="preserve"> EUR</w:t>
      </w:r>
    </w:p>
    <w:p w14:paraId="7D535279" w14:textId="01AD4078" w:rsidR="00AF59D7" w:rsidRPr="003A16F5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3A16F5">
        <w:rPr>
          <w:color w:val="000000" w:themeColor="text1"/>
        </w:rPr>
        <w:t>Troškovi zbrinjavanja i ostalih usluga</w:t>
      </w:r>
      <w:r w:rsidRPr="003A16F5">
        <w:rPr>
          <w:color w:val="000000" w:themeColor="text1"/>
        </w:rPr>
        <w:tab/>
      </w:r>
      <w:r w:rsidRPr="003A16F5">
        <w:rPr>
          <w:color w:val="000000" w:themeColor="text1"/>
        </w:rPr>
        <w:tab/>
      </w:r>
      <w:r w:rsidRPr="003A16F5">
        <w:rPr>
          <w:color w:val="000000" w:themeColor="text1"/>
        </w:rPr>
        <w:tab/>
      </w:r>
      <w:r w:rsidRPr="003A16F5">
        <w:rPr>
          <w:color w:val="000000" w:themeColor="text1"/>
        </w:rPr>
        <w:tab/>
      </w:r>
      <w:r w:rsidR="00DD576B" w:rsidRPr="003A16F5">
        <w:rPr>
          <w:color w:val="000000" w:themeColor="text1"/>
        </w:rPr>
        <w:t>415.307,22</w:t>
      </w:r>
      <w:r w:rsidRPr="003A16F5">
        <w:rPr>
          <w:color w:val="000000" w:themeColor="text1"/>
        </w:rPr>
        <w:t xml:space="preserve"> EUR</w:t>
      </w:r>
    </w:p>
    <w:p w14:paraId="748E8F6E" w14:textId="6AD94C1D" w:rsidR="003A16F5" w:rsidRPr="003A16F5" w:rsidRDefault="002C78CD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Ostali indirektni troškovi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 w:rsidR="005C536B">
        <w:rPr>
          <w:color w:val="000000" w:themeColor="text1"/>
          <w:u w:val="single"/>
        </w:rPr>
        <w:t>168.821,68</w:t>
      </w:r>
      <w:r>
        <w:rPr>
          <w:color w:val="000000" w:themeColor="text1"/>
          <w:u w:val="single"/>
        </w:rPr>
        <w:t xml:space="preserve"> EUR</w:t>
      </w:r>
    </w:p>
    <w:p w14:paraId="03E02C43" w14:textId="25C9510E" w:rsidR="00D73DE1" w:rsidRPr="00840AA8" w:rsidRDefault="00AF59D7" w:rsidP="00DB291D">
      <w:pPr>
        <w:spacing w:after="0"/>
        <w:ind w:firstLine="708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 1.</w:t>
      </w:r>
      <w:r w:rsidR="005C536B">
        <w:rPr>
          <w:color w:val="000000" w:themeColor="text1"/>
        </w:rPr>
        <w:t>574.192,65</w:t>
      </w:r>
      <w:r w:rsidRPr="00840AA8">
        <w:rPr>
          <w:color w:val="000000" w:themeColor="text1"/>
        </w:rPr>
        <w:t xml:space="preserve"> EUR</w:t>
      </w:r>
      <w:r w:rsidRPr="00840AA8">
        <w:rPr>
          <w:color w:val="000000" w:themeColor="text1"/>
        </w:rPr>
        <w:tab/>
      </w:r>
      <w:r w:rsidR="00D73DE1" w:rsidRPr="00840AA8">
        <w:rPr>
          <w:color w:val="000000" w:themeColor="text1"/>
        </w:rPr>
        <w:tab/>
      </w:r>
    </w:p>
    <w:p w14:paraId="21B9843D" w14:textId="7EC1FC5A" w:rsidR="00F17902" w:rsidRPr="000B2EAF" w:rsidRDefault="00F17902" w:rsidP="00E659DA">
      <w:pPr>
        <w:jc w:val="both"/>
        <w:rPr>
          <w:rFonts w:cstheme="minorHAnsi"/>
          <w:b/>
          <w:bCs/>
        </w:rPr>
      </w:pPr>
      <w:r w:rsidRPr="000B2EAF">
        <w:rPr>
          <w:rFonts w:cstheme="minorHAnsi"/>
          <w:b/>
          <w:bCs/>
        </w:rPr>
        <w:t>RJ RECIKLAŽNO DVORIŠTE</w:t>
      </w:r>
    </w:p>
    <w:p w14:paraId="7192E709" w14:textId="30EF41E9" w:rsidR="00466072" w:rsidRDefault="00466072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0B2EAF">
        <w:rPr>
          <w:rFonts w:cstheme="minorHAnsi"/>
          <w:color w:val="000000" w:themeColor="text1"/>
          <w:shd w:val="clear" w:color="auto" w:fill="FFFFFF"/>
        </w:rPr>
        <w:t>U donjoj tablici vidljive su količine odvojeno prikupljenog papira, plastike i stakla u 2021., 202</w:t>
      </w:r>
      <w:r w:rsidR="001853C1">
        <w:rPr>
          <w:rFonts w:cstheme="minorHAnsi"/>
          <w:color w:val="000000" w:themeColor="text1"/>
          <w:shd w:val="clear" w:color="auto" w:fill="FFFFFF"/>
        </w:rPr>
        <w:t>2</w:t>
      </w:r>
      <w:r w:rsidRPr="000B2EAF">
        <w:rPr>
          <w:rFonts w:cstheme="minorHAnsi"/>
          <w:color w:val="000000" w:themeColor="text1"/>
          <w:shd w:val="clear" w:color="auto" w:fill="FFFFFF"/>
        </w:rPr>
        <w:t>.</w:t>
      </w:r>
      <w:r w:rsidR="000B2EAF" w:rsidRPr="000B2EAF">
        <w:rPr>
          <w:rFonts w:cstheme="minorHAnsi"/>
          <w:color w:val="000000" w:themeColor="text1"/>
          <w:shd w:val="clear" w:color="auto" w:fill="FFFFFF"/>
        </w:rPr>
        <w:t>,</w:t>
      </w:r>
      <w:r w:rsidRPr="000B2EAF">
        <w:rPr>
          <w:rFonts w:cstheme="minorHAnsi"/>
          <w:color w:val="000000" w:themeColor="text1"/>
          <w:shd w:val="clear" w:color="auto" w:fill="FFFFFF"/>
        </w:rPr>
        <w:t>2023</w:t>
      </w:r>
      <w:r w:rsidR="000B2EAF" w:rsidRPr="000B2EAF">
        <w:rPr>
          <w:rFonts w:cstheme="minorHAnsi"/>
          <w:color w:val="000000" w:themeColor="text1"/>
          <w:shd w:val="clear" w:color="auto" w:fill="FFFFFF"/>
        </w:rPr>
        <w:t>.</w:t>
      </w:r>
      <w:r w:rsidR="00DD576B">
        <w:rPr>
          <w:rFonts w:cstheme="minorHAnsi"/>
          <w:color w:val="000000" w:themeColor="text1"/>
          <w:shd w:val="clear" w:color="auto" w:fill="FFFFFF"/>
        </w:rPr>
        <w:t>, 2024. i 2025</w:t>
      </w:r>
      <w:r w:rsidR="000B2EAF" w:rsidRPr="000B2EAF">
        <w:rPr>
          <w:rFonts w:cstheme="minorHAnsi"/>
          <w:color w:val="000000" w:themeColor="text1"/>
          <w:shd w:val="clear" w:color="auto" w:fill="FFFFFF"/>
        </w:rPr>
        <w:t>.</w:t>
      </w:r>
      <w:r w:rsidRPr="000B2EAF">
        <w:rPr>
          <w:rFonts w:cstheme="minorHAnsi"/>
          <w:color w:val="000000" w:themeColor="text1"/>
          <w:shd w:val="clear" w:color="auto" w:fill="FFFFFF"/>
        </w:rPr>
        <w:t xml:space="preserve"> godini.</w:t>
      </w:r>
    </w:p>
    <w:p w14:paraId="4351FD36" w14:textId="77777777" w:rsidR="00DB291D" w:rsidRDefault="00DB291D" w:rsidP="00DB291D">
      <w:pPr>
        <w:jc w:val="both"/>
      </w:pPr>
      <w:r>
        <w:t>Količine prikupljenog odvojenog otpada (papir, staklo, plastika) također su mnogo veće nego ranijih godina, ali je i tu vidljiv trend stagniranja što znači da je postignut maksimum što je vidljivo iz donje tablice.</w:t>
      </w:r>
    </w:p>
    <w:p w14:paraId="3B6BE4DF" w14:textId="77777777" w:rsidR="00DB291D" w:rsidRDefault="00DB291D" w:rsidP="00DB291D">
      <w:pPr>
        <w:jc w:val="both"/>
      </w:pPr>
      <w:r>
        <w:t>Procjenjuje se da je moguće skupiti još 15-20 posto više papira, stakla i plastike kada bi se onemogućilo nelegalno odlaganje, jer je vidljivo da većina nelegalno odloženog otpada nije niti razdvojeno pogotovo za vrijeme turističke sezone.</w:t>
      </w:r>
    </w:p>
    <w:p w14:paraId="2DD4446E" w14:textId="77777777" w:rsidR="00DB291D" w:rsidRDefault="00DB291D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</w:p>
    <w:p w14:paraId="283760B5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  <w:r w:rsidRPr="00462578">
        <w:rPr>
          <w:noProof/>
        </w:rPr>
        <w:drawing>
          <wp:inline distT="0" distB="0" distL="0" distR="0" wp14:anchorId="64313E15" wp14:editId="5027A563">
            <wp:extent cx="5731510" cy="852170"/>
            <wp:effectExtent l="0" t="0" r="2540" b="5080"/>
            <wp:docPr id="1508169795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2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38D68D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  <w:r w:rsidRPr="00462578">
        <w:rPr>
          <w:noProof/>
        </w:rPr>
        <w:drawing>
          <wp:inline distT="0" distB="0" distL="0" distR="0" wp14:anchorId="1C00A72D" wp14:editId="601A2583">
            <wp:extent cx="5731510" cy="1470025"/>
            <wp:effectExtent l="0" t="0" r="2540" b="0"/>
            <wp:docPr id="1826033614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8BE69F" w14:textId="77777777" w:rsidR="000B2EAF" w:rsidRPr="00462578" w:rsidRDefault="000B2EAF" w:rsidP="000B2EAF">
      <w:pPr>
        <w:rPr>
          <w:noProof/>
          <w:color w:val="000000" w:themeColor="text1"/>
          <w:shd w:val="clear" w:color="auto" w:fill="FFFFFF"/>
        </w:rPr>
      </w:pPr>
      <w:r w:rsidRPr="00462578">
        <w:rPr>
          <w:noProof/>
        </w:rPr>
        <w:lastRenderedPageBreak/>
        <w:drawing>
          <wp:inline distT="0" distB="0" distL="0" distR="0" wp14:anchorId="661E0D52" wp14:editId="29F1F0DC">
            <wp:extent cx="5731510" cy="1470025"/>
            <wp:effectExtent l="0" t="0" r="2540" b="0"/>
            <wp:docPr id="1970798173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124F41" w14:textId="17A75A11" w:rsidR="001853C1" w:rsidRDefault="000B2EAF" w:rsidP="001853C1">
      <w:pPr>
        <w:rPr>
          <w:noProof/>
        </w:rPr>
      </w:pPr>
      <w:r w:rsidRPr="00462578">
        <w:rPr>
          <w:noProof/>
        </w:rPr>
        <w:drawing>
          <wp:inline distT="0" distB="0" distL="0" distR="0" wp14:anchorId="41B1FB3E" wp14:editId="640052C3">
            <wp:extent cx="5731510" cy="1470025"/>
            <wp:effectExtent l="0" t="0" r="2540" b="0"/>
            <wp:docPr id="9708424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147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906C36" w14:textId="49D13B98" w:rsidR="00DD576B" w:rsidRDefault="00DD576B" w:rsidP="001853C1">
      <w:pPr>
        <w:rPr>
          <w:noProof/>
        </w:rPr>
      </w:pPr>
      <w:r w:rsidRPr="00DD576B">
        <w:rPr>
          <w:noProof/>
        </w:rPr>
        <w:drawing>
          <wp:inline distT="0" distB="0" distL="0" distR="0" wp14:anchorId="32546FDC" wp14:editId="7F6E5398">
            <wp:extent cx="5760720" cy="1221740"/>
            <wp:effectExtent l="0" t="0" r="0" b="0"/>
            <wp:docPr id="161850713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221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009A0" w14:textId="77777777" w:rsidR="00107ACA" w:rsidRDefault="00107ACA" w:rsidP="001853C1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>U odjelu Reciklažnog dvorište ostvareno je prihoga od prikupljanja otpada  u iznosu od 70.582,59 eura .</w:t>
      </w:r>
    </w:p>
    <w:p w14:paraId="36792C16" w14:textId="67C6C6A8" w:rsidR="00AF59D7" w:rsidRPr="00840AA8" w:rsidRDefault="00107ACA" w:rsidP="001853C1">
      <w:pPr>
        <w:rPr>
          <w:noProof/>
          <w:color w:val="000000" w:themeColor="text1"/>
        </w:rPr>
      </w:pPr>
      <w:r>
        <w:rPr>
          <w:noProof/>
          <w:color w:val="000000" w:themeColor="text1"/>
        </w:rPr>
        <w:t xml:space="preserve"> </w:t>
      </w:r>
      <w:r w:rsidR="00AD2267" w:rsidRPr="00840AA8">
        <w:rPr>
          <w:noProof/>
          <w:color w:val="000000" w:themeColor="text1"/>
        </w:rPr>
        <w:t>Na recikla</w:t>
      </w:r>
      <w:r w:rsidR="008C1ED1" w:rsidRPr="00840AA8">
        <w:rPr>
          <w:noProof/>
          <w:color w:val="000000" w:themeColor="text1"/>
        </w:rPr>
        <w:t>žnom dvorištu</w:t>
      </w:r>
      <w:r w:rsidR="00DB291D">
        <w:rPr>
          <w:noProof/>
          <w:color w:val="000000" w:themeColor="text1"/>
        </w:rPr>
        <w:t xml:space="preserve"> bilo je</w:t>
      </w:r>
      <w:r w:rsidR="008C1ED1" w:rsidRPr="00840AA8">
        <w:rPr>
          <w:noProof/>
          <w:color w:val="000000" w:themeColor="text1"/>
        </w:rPr>
        <w:t xml:space="preserve"> zaposleno  3 djelatnika</w:t>
      </w:r>
      <w:r w:rsidR="00AF02A5">
        <w:rPr>
          <w:noProof/>
          <w:color w:val="000000" w:themeColor="text1"/>
        </w:rPr>
        <w:t>, a troškovi pos</w:t>
      </w:r>
      <w:r w:rsidR="00DB291D">
        <w:rPr>
          <w:noProof/>
          <w:color w:val="000000" w:themeColor="text1"/>
        </w:rPr>
        <w:t>lovanja</w:t>
      </w:r>
      <w:r w:rsidR="00AF02A5">
        <w:rPr>
          <w:noProof/>
          <w:color w:val="000000" w:themeColor="text1"/>
        </w:rPr>
        <w:t xml:space="preserve"> su iznosili :</w:t>
      </w:r>
    </w:p>
    <w:p w14:paraId="3932E2E5" w14:textId="59883837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8A3E87">
        <w:rPr>
          <w:color w:val="000000" w:themeColor="text1"/>
        </w:rPr>
        <w:t>48.173,35</w:t>
      </w:r>
      <w:r w:rsidRPr="00840AA8">
        <w:rPr>
          <w:color w:val="000000" w:themeColor="text1"/>
        </w:rPr>
        <w:t xml:space="preserve"> EUR</w:t>
      </w:r>
    </w:p>
    <w:p w14:paraId="70373FB5" w14:textId="09D086D9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Materijalni troškovi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EF2EBB" w:rsidRPr="00840AA8">
        <w:rPr>
          <w:color w:val="000000" w:themeColor="text1"/>
        </w:rPr>
        <w:t xml:space="preserve"> </w:t>
      </w:r>
      <w:r w:rsidR="008A3E87">
        <w:rPr>
          <w:color w:val="000000" w:themeColor="text1"/>
        </w:rPr>
        <w:t>9.036,31</w:t>
      </w:r>
      <w:r w:rsidR="00141307" w:rsidRPr="00840AA8">
        <w:rPr>
          <w:color w:val="000000" w:themeColor="text1"/>
        </w:rPr>
        <w:t xml:space="preserve"> </w:t>
      </w:r>
      <w:r w:rsidRPr="00840AA8">
        <w:rPr>
          <w:color w:val="000000" w:themeColor="text1"/>
        </w:rPr>
        <w:t xml:space="preserve"> EUR</w:t>
      </w:r>
    </w:p>
    <w:p w14:paraId="52A149FE" w14:textId="5DB33CC2" w:rsidR="00AF59D7" w:rsidRPr="00840AA8" w:rsidRDefault="00AF59D7" w:rsidP="00AF59D7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 w:rsidRPr="00840AA8">
        <w:rPr>
          <w:color w:val="000000" w:themeColor="text1"/>
          <w:u w:val="single"/>
        </w:rPr>
        <w:t>Troškovi zbrinjavanja i ostalih usluga</w:t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Pr="00840AA8">
        <w:rPr>
          <w:color w:val="000000" w:themeColor="text1"/>
          <w:u w:val="single"/>
        </w:rPr>
        <w:tab/>
      </w:r>
      <w:r w:rsidR="00C314C7" w:rsidRPr="00840AA8">
        <w:rPr>
          <w:color w:val="000000" w:themeColor="text1"/>
          <w:u w:val="single"/>
        </w:rPr>
        <w:t xml:space="preserve">           </w:t>
      </w:r>
      <w:r w:rsidR="00D15EC9" w:rsidRPr="00840AA8">
        <w:rPr>
          <w:color w:val="000000" w:themeColor="text1"/>
          <w:u w:val="single"/>
        </w:rPr>
        <w:t xml:space="preserve"> </w:t>
      </w:r>
      <w:r w:rsidR="008A3E87">
        <w:rPr>
          <w:color w:val="000000" w:themeColor="text1"/>
          <w:u w:val="single"/>
        </w:rPr>
        <w:t>312.590,27</w:t>
      </w:r>
      <w:r w:rsidRPr="00840AA8">
        <w:rPr>
          <w:color w:val="000000" w:themeColor="text1"/>
          <w:u w:val="single"/>
        </w:rPr>
        <w:t xml:space="preserve"> EUR</w:t>
      </w:r>
    </w:p>
    <w:p w14:paraId="21A263AD" w14:textId="087A5537" w:rsidR="00C314C7" w:rsidRPr="00840AA8" w:rsidRDefault="00AF59D7" w:rsidP="00DB291D">
      <w:pPr>
        <w:ind w:firstLine="360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             </w:t>
      </w:r>
      <w:r w:rsidR="00C314C7" w:rsidRPr="00840AA8">
        <w:rPr>
          <w:color w:val="000000" w:themeColor="text1"/>
        </w:rPr>
        <w:t xml:space="preserve"> </w:t>
      </w:r>
      <w:r w:rsidR="00D15EC9" w:rsidRPr="00840AA8">
        <w:rPr>
          <w:color w:val="000000" w:themeColor="text1"/>
        </w:rPr>
        <w:t>3</w:t>
      </w:r>
      <w:r w:rsidR="008A3E87">
        <w:rPr>
          <w:color w:val="000000" w:themeColor="text1"/>
        </w:rPr>
        <w:t>69.799,93</w:t>
      </w:r>
      <w:r w:rsidRPr="00840AA8">
        <w:rPr>
          <w:color w:val="000000" w:themeColor="text1"/>
        </w:rPr>
        <w:t xml:space="preserve"> EUR</w:t>
      </w:r>
      <w:r w:rsidRPr="00840AA8">
        <w:rPr>
          <w:color w:val="000000" w:themeColor="text1"/>
        </w:rPr>
        <w:tab/>
      </w:r>
    </w:p>
    <w:p w14:paraId="211F7278" w14:textId="5327317D" w:rsidR="00572B31" w:rsidRPr="00DA5EE4" w:rsidRDefault="00572B31" w:rsidP="00AF59D7">
      <w:pPr>
        <w:jc w:val="both"/>
        <w:rPr>
          <w:rFonts w:cstheme="minorHAnsi"/>
          <w:b/>
          <w:bCs/>
          <w:color w:val="000000" w:themeColor="text1"/>
          <w:shd w:val="clear" w:color="auto" w:fill="FFFFFF"/>
        </w:rPr>
      </w:pPr>
      <w:r w:rsidRPr="00DA5EE4">
        <w:rPr>
          <w:rFonts w:cstheme="minorHAnsi"/>
          <w:b/>
          <w:bCs/>
          <w:color w:val="000000" w:themeColor="text1"/>
          <w:shd w:val="clear" w:color="auto" w:fill="FFFFFF"/>
        </w:rPr>
        <w:t xml:space="preserve">RJ </w:t>
      </w:r>
      <w:r w:rsidR="00C32197" w:rsidRPr="00DA5EE4">
        <w:rPr>
          <w:rFonts w:cstheme="minorHAnsi"/>
          <w:b/>
          <w:bCs/>
          <w:color w:val="000000" w:themeColor="text1"/>
          <w:shd w:val="clear" w:color="auto" w:fill="FFFFFF"/>
        </w:rPr>
        <w:t>UPRAVLJANJE ODLAGALIŠTEM</w:t>
      </w:r>
    </w:p>
    <w:p w14:paraId="2F66BC45" w14:textId="3D1FE1D5" w:rsidR="00572B31" w:rsidRDefault="00572B31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rFonts w:cstheme="minorHAnsi"/>
          <w:color w:val="000000" w:themeColor="text1"/>
          <w:shd w:val="clear" w:color="auto" w:fill="FFFFFF"/>
        </w:rPr>
        <w:t xml:space="preserve">Na odlagalištu Vučje </w:t>
      </w:r>
      <w:r w:rsidR="005F30DC" w:rsidRPr="00DA5EE4">
        <w:rPr>
          <w:rFonts w:cstheme="minorHAnsi"/>
          <w:color w:val="000000" w:themeColor="text1"/>
          <w:shd w:val="clear" w:color="auto" w:fill="FFFFFF"/>
        </w:rPr>
        <w:t>brdo tijekom 202</w:t>
      </w:r>
      <w:r w:rsidR="008A3E87">
        <w:rPr>
          <w:rFonts w:cstheme="minorHAnsi"/>
          <w:color w:val="000000" w:themeColor="text1"/>
          <w:shd w:val="clear" w:color="auto" w:fill="FFFFFF"/>
        </w:rPr>
        <w:t>5</w:t>
      </w:r>
      <w:r w:rsidR="005F30DC" w:rsidRPr="00DA5EE4">
        <w:rPr>
          <w:rFonts w:cstheme="minorHAnsi"/>
          <w:color w:val="000000" w:themeColor="text1"/>
          <w:shd w:val="clear" w:color="auto" w:fill="FFFFFF"/>
        </w:rPr>
        <w:t>. godine zbog skučenosti kapaciteta odlagališta, nastavilo se racionalizacijom odlaganja otpada. Nastavilo se sa redovni održavanjem i dopunom opreme za razastiranje otpada</w:t>
      </w:r>
      <w:r w:rsidR="00203FAE" w:rsidRPr="00DA5EE4">
        <w:rPr>
          <w:rFonts w:cstheme="minorHAnsi"/>
          <w:color w:val="000000" w:themeColor="text1"/>
          <w:shd w:val="clear" w:color="auto" w:fill="FFFFFF"/>
        </w:rPr>
        <w:t xml:space="preserve"> . </w:t>
      </w:r>
    </w:p>
    <w:p w14:paraId="12015D00" w14:textId="22145B79" w:rsidR="008A3E87" w:rsidRDefault="008A3E87" w:rsidP="008A3E87">
      <w:pPr>
        <w:jc w:val="both"/>
      </w:pPr>
      <w:r>
        <w:t>Ukupna godišnja  količina otpada koj</w:t>
      </w:r>
      <w:r w:rsidR="00DB291D">
        <w:t>a</w:t>
      </w:r>
      <w:r>
        <w:t xml:space="preserve"> se odloži</w:t>
      </w:r>
      <w:r w:rsidR="00DB291D">
        <w:t xml:space="preserve">la </w:t>
      </w:r>
      <w:r>
        <w:t xml:space="preserve">na deponiju Vučje brdo sa područja Grada Trogira </w:t>
      </w:r>
      <w:r w:rsidR="00DB291D">
        <w:t>u 2025. godini 6.345,15</w:t>
      </w:r>
      <w:r>
        <w:t xml:space="preserve"> tona .</w:t>
      </w:r>
    </w:p>
    <w:p w14:paraId="1FB8DCF5" w14:textId="456A9412" w:rsidR="008A3E87" w:rsidRPr="00DA5EE4" w:rsidRDefault="008A3E87" w:rsidP="008A3E87">
      <w:pPr>
        <w:jc w:val="both"/>
        <w:rPr>
          <w:rFonts w:cstheme="minorHAnsi"/>
          <w:color w:val="000000" w:themeColor="text1"/>
          <w:shd w:val="clear" w:color="auto" w:fill="FFFFFF"/>
        </w:rPr>
      </w:pPr>
      <w:r>
        <w:t>Vidljivo je da je najmanja količina odložena 2023.g. nakon što je uveden novi sustav evidencije i naplate miješanog komunalnog otpada i da se od tada povećava razmjerno povećanju broja</w:t>
      </w:r>
      <w:r w:rsidR="00DB291D">
        <w:t xml:space="preserve"> korisnika javne usluge.</w:t>
      </w:r>
    </w:p>
    <w:p w14:paraId="3AA03A88" w14:textId="77777777" w:rsidR="008A3E87" w:rsidRDefault="008A3E87" w:rsidP="008A3E87">
      <w:pPr>
        <w:jc w:val="both"/>
      </w:pPr>
      <w:r>
        <w:lastRenderedPageBreak/>
        <w:t xml:space="preserve">Iz tablice je vidljivo da se količina dosta smanjila uvođenjem sustava razdvajanja otpada i naplatom po količini odloženog otpada, te izgradnjom </w:t>
      </w:r>
      <w:proofErr w:type="spellStart"/>
      <w:r>
        <w:t>reciklažnog</w:t>
      </w:r>
      <w:proofErr w:type="spellEnd"/>
      <w:r>
        <w:t xml:space="preserve"> dvorišta, ali je zadnje 2-3 godine vidljiv trend povećanja koji se može pripisati povećanom broju korisnika, ali i nelegalno odloženom otpadu, te utjecaju turizma.</w:t>
      </w:r>
    </w:p>
    <w:p w14:paraId="2FF23F76" w14:textId="77777777" w:rsidR="008A3E87" w:rsidRDefault="008A3E87" w:rsidP="008A3E87">
      <w:pPr>
        <w:jc w:val="both"/>
      </w:pPr>
      <w:r>
        <w:t>Utjecaj turizma generira i 2,5 puta više odloženog otpada ljeti nego u zimskim mjesecima i manju stopu razdvajanja otpada.</w:t>
      </w:r>
    </w:p>
    <w:p w14:paraId="76BDBFB3" w14:textId="310352DC" w:rsidR="00DD27D5" w:rsidRDefault="00DD27D5" w:rsidP="00285D7C">
      <w:pPr>
        <w:spacing w:after="0"/>
        <w:jc w:val="both"/>
        <w:rPr>
          <w:rFonts w:cstheme="minorHAnsi"/>
          <w:color w:val="000000" w:themeColor="text1"/>
          <w:shd w:val="clear" w:color="auto" w:fill="FFFFFF"/>
        </w:rPr>
      </w:pPr>
      <w:r w:rsidRPr="00DA5EE4">
        <w:rPr>
          <w:rFonts w:cstheme="minorHAnsi"/>
          <w:color w:val="000000" w:themeColor="text1"/>
          <w:shd w:val="clear" w:color="auto" w:fill="FFFFFF"/>
        </w:rPr>
        <w:t>U donjoj tablici prikaz</w:t>
      </w:r>
      <w:r w:rsidR="005D62F2" w:rsidRPr="00DA5EE4">
        <w:rPr>
          <w:rFonts w:cstheme="minorHAnsi"/>
          <w:color w:val="000000" w:themeColor="text1"/>
          <w:shd w:val="clear" w:color="auto" w:fill="FFFFFF"/>
        </w:rPr>
        <w:t>a</w:t>
      </w:r>
      <w:r w:rsidRPr="00DA5EE4">
        <w:rPr>
          <w:rFonts w:cstheme="minorHAnsi"/>
          <w:color w:val="000000" w:themeColor="text1"/>
          <w:shd w:val="clear" w:color="auto" w:fill="FFFFFF"/>
        </w:rPr>
        <w:t>ne su količine odloženog otpada na deponij Vučje brdo od 201</w:t>
      </w:r>
      <w:r w:rsidR="001853C1">
        <w:rPr>
          <w:rFonts w:cstheme="minorHAnsi"/>
          <w:color w:val="000000" w:themeColor="text1"/>
          <w:shd w:val="clear" w:color="auto" w:fill="FFFFFF"/>
        </w:rPr>
        <w:t>8.</w:t>
      </w:r>
      <w:r w:rsidR="005D62F2" w:rsidRPr="00DA5EE4">
        <w:rPr>
          <w:rFonts w:cstheme="minorHAnsi"/>
          <w:color w:val="000000" w:themeColor="text1"/>
          <w:shd w:val="clear" w:color="auto" w:fill="FFFFFF"/>
        </w:rPr>
        <w:t xml:space="preserve"> do 202</w:t>
      </w:r>
      <w:r w:rsidR="008A3E87">
        <w:rPr>
          <w:rFonts w:cstheme="minorHAnsi"/>
          <w:color w:val="000000" w:themeColor="text1"/>
          <w:shd w:val="clear" w:color="auto" w:fill="FFFFFF"/>
        </w:rPr>
        <w:t>5</w:t>
      </w:r>
      <w:r w:rsidR="005D62F2" w:rsidRPr="00DA5EE4">
        <w:rPr>
          <w:rFonts w:cstheme="minorHAnsi"/>
          <w:color w:val="000000" w:themeColor="text1"/>
          <w:shd w:val="clear" w:color="auto" w:fill="FFFFFF"/>
        </w:rPr>
        <w:t>.godine.</w:t>
      </w:r>
    </w:p>
    <w:p w14:paraId="28B5F920" w14:textId="52C797F8" w:rsidR="00DA5EE4" w:rsidRPr="00DA5EE4" w:rsidRDefault="008A3E87" w:rsidP="00E659DA">
      <w:pPr>
        <w:jc w:val="both"/>
        <w:rPr>
          <w:rFonts w:cstheme="minorHAnsi"/>
          <w:color w:val="000000" w:themeColor="text1"/>
          <w:shd w:val="clear" w:color="auto" w:fill="FFFFFF"/>
        </w:rPr>
      </w:pPr>
      <w:r w:rsidRPr="008A3E87">
        <w:rPr>
          <w:rFonts w:ascii="Aptos" w:eastAsia="Aptos" w:hAnsi="Aptos" w:cs="Times New Roman"/>
          <w:noProof/>
          <w:kern w:val="2"/>
          <w14:ligatures w14:val="standardContextual"/>
        </w:rPr>
        <w:drawing>
          <wp:inline distT="0" distB="0" distL="0" distR="0" wp14:anchorId="4E1DD651" wp14:editId="69B3B75E">
            <wp:extent cx="5731510" cy="3686810"/>
            <wp:effectExtent l="0" t="0" r="2540" b="8890"/>
            <wp:docPr id="48646554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686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CC6BA59" w14:textId="651BEF30" w:rsidR="00063F8F" w:rsidRPr="00D6257D" w:rsidRDefault="00FB3782" w:rsidP="00E659DA">
      <w:pPr>
        <w:jc w:val="both"/>
        <w:rPr>
          <w:rFonts w:cstheme="minorHAnsi"/>
          <w:b/>
          <w:bCs/>
          <w:color w:val="000000" w:themeColor="text1"/>
        </w:rPr>
      </w:pPr>
      <w:r w:rsidRPr="00D6257D">
        <w:rPr>
          <w:rFonts w:cstheme="minorHAnsi"/>
          <w:b/>
          <w:bCs/>
          <w:color w:val="000000" w:themeColor="text1"/>
        </w:rPr>
        <w:t xml:space="preserve">R.J. </w:t>
      </w:r>
      <w:r w:rsidR="00063F8F" w:rsidRPr="00D6257D">
        <w:rPr>
          <w:rFonts w:cstheme="minorHAnsi"/>
          <w:b/>
          <w:bCs/>
          <w:color w:val="000000" w:themeColor="text1"/>
        </w:rPr>
        <w:t>MEDIJI</w:t>
      </w:r>
      <w:r w:rsidR="009A568D" w:rsidRPr="00D6257D">
        <w:rPr>
          <w:rFonts w:cstheme="minorHAnsi"/>
          <w:b/>
          <w:bCs/>
          <w:color w:val="000000" w:themeColor="text1"/>
        </w:rPr>
        <w:t xml:space="preserve">  </w:t>
      </w:r>
    </w:p>
    <w:p w14:paraId="6AD06E1B" w14:textId="5F09A7D7" w:rsidR="00BB458D" w:rsidRDefault="00BB458D" w:rsidP="008E2063">
      <w:pPr>
        <w:pStyle w:val="Tijeloteksta"/>
        <w:spacing w:before="170"/>
        <w:ind w:left="118"/>
        <w:jc w:val="both"/>
        <w:rPr>
          <w:rFonts w:asciiTheme="minorHAnsi" w:hAnsiTheme="minorHAnsi" w:cstheme="minorHAnsi"/>
          <w:color w:val="000000" w:themeColor="text1"/>
        </w:rPr>
      </w:pPr>
      <w:r w:rsidRPr="00D6257D">
        <w:rPr>
          <w:rFonts w:asciiTheme="minorHAnsi" w:hAnsiTheme="minorHAnsi" w:cstheme="minorHAnsi"/>
          <w:color w:val="000000" w:themeColor="text1"/>
        </w:rPr>
        <w:t>U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RJ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MEDIJI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redovno su organizirani poslovi i aktivnosti</w:t>
      </w:r>
      <w:r w:rsidR="001853C1">
        <w:rPr>
          <w:rFonts w:asciiTheme="minorHAnsi" w:hAnsiTheme="minorHAnsi" w:cstheme="minorHAnsi"/>
          <w:color w:val="000000" w:themeColor="text1"/>
        </w:rPr>
        <w:t>:</w:t>
      </w:r>
    </w:p>
    <w:p w14:paraId="4DFB657C" w14:textId="61A6CFC7" w:rsidR="00BB458D" w:rsidRPr="00D6257D" w:rsidRDefault="00BB458D" w:rsidP="008E2063">
      <w:pPr>
        <w:pStyle w:val="Odlomakpopisa"/>
        <w:numPr>
          <w:ilvl w:val="0"/>
          <w:numId w:val="19"/>
        </w:numPr>
        <w:tabs>
          <w:tab w:val="left" w:pos="838"/>
          <w:tab w:val="left" w:pos="839"/>
        </w:tabs>
        <w:spacing w:line="280" w:lineRule="exact"/>
        <w:ind w:hanging="361"/>
        <w:jc w:val="both"/>
        <w:rPr>
          <w:rFonts w:asciiTheme="minorHAnsi" w:hAnsiTheme="minorHAnsi" w:cstheme="minorHAnsi"/>
          <w:color w:val="000000" w:themeColor="text1"/>
        </w:rPr>
      </w:pPr>
      <w:r w:rsidRPr="00D6257D">
        <w:rPr>
          <w:rFonts w:asciiTheme="minorHAnsi" w:hAnsiTheme="minorHAnsi" w:cstheme="minorHAnsi"/>
          <w:color w:val="000000" w:themeColor="text1"/>
        </w:rPr>
        <w:t>Nastavilo se redovnim održavanjem i ob</w:t>
      </w:r>
      <w:r w:rsidR="00CB1280" w:rsidRPr="00D6257D">
        <w:rPr>
          <w:rFonts w:asciiTheme="minorHAnsi" w:hAnsiTheme="minorHAnsi" w:cstheme="minorHAnsi"/>
          <w:color w:val="000000" w:themeColor="text1"/>
        </w:rPr>
        <w:t>j</w:t>
      </w:r>
      <w:r w:rsidRPr="00D6257D">
        <w:rPr>
          <w:rFonts w:asciiTheme="minorHAnsi" w:hAnsiTheme="minorHAnsi" w:cstheme="minorHAnsi"/>
          <w:color w:val="000000" w:themeColor="text1"/>
        </w:rPr>
        <w:t>avljivanjem</w:t>
      </w:r>
      <w:r w:rsidR="00CB1280" w:rsidRPr="00D6257D">
        <w:rPr>
          <w:rFonts w:asciiTheme="minorHAnsi" w:hAnsiTheme="minorHAnsi" w:cstheme="minorHAnsi"/>
          <w:color w:val="000000" w:themeColor="text1"/>
        </w:rPr>
        <w:t xml:space="preserve"> na Gradskom radiju i</w:t>
      </w:r>
      <w:r w:rsidRPr="00D6257D">
        <w:rPr>
          <w:rFonts w:asciiTheme="minorHAnsi" w:hAnsiTheme="minorHAnsi" w:cstheme="minorHAnsi"/>
          <w:color w:val="000000" w:themeColor="text1"/>
        </w:rPr>
        <w:t xml:space="preserve"> na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trogirskom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portalu u</w:t>
      </w:r>
      <w:r w:rsidRPr="00D6257D">
        <w:rPr>
          <w:rFonts w:asciiTheme="minorHAnsi" w:hAnsiTheme="minorHAnsi" w:cstheme="minorHAnsi"/>
          <w:color w:val="000000" w:themeColor="text1"/>
          <w:spacing w:val="-5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svrhu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lakšeg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operativnog</w:t>
      </w:r>
      <w:r w:rsidRPr="00D6257D">
        <w:rPr>
          <w:rFonts w:asciiTheme="minorHAnsi" w:hAnsiTheme="minorHAnsi" w:cstheme="minorHAnsi"/>
          <w:color w:val="000000" w:themeColor="text1"/>
          <w:spacing w:val="-4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rada, marketinga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i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podizanja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kvalitete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za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korisnike;</w:t>
      </w:r>
    </w:p>
    <w:p w14:paraId="4F3FF4DE" w14:textId="4451F28A" w:rsidR="00BB458D" w:rsidRDefault="00BB458D" w:rsidP="008E2063">
      <w:pPr>
        <w:pStyle w:val="Odlomakpopisa"/>
        <w:numPr>
          <w:ilvl w:val="0"/>
          <w:numId w:val="19"/>
        </w:numPr>
        <w:tabs>
          <w:tab w:val="left" w:pos="838"/>
          <w:tab w:val="left" w:pos="839"/>
        </w:tabs>
        <w:spacing w:before="19" w:line="259" w:lineRule="auto"/>
        <w:ind w:right="103" w:hanging="361"/>
        <w:jc w:val="both"/>
        <w:rPr>
          <w:rFonts w:asciiTheme="minorHAnsi" w:hAnsiTheme="minorHAnsi" w:cstheme="minorHAnsi"/>
          <w:color w:val="000000" w:themeColor="text1"/>
        </w:rPr>
      </w:pPr>
      <w:r w:rsidRPr="00D6257D">
        <w:rPr>
          <w:rFonts w:asciiTheme="minorHAnsi" w:hAnsiTheme="minorHAnsi" w:cstheme="minorHAnsi"/>
          <w:color w:val="000000" w:themeColor="text1"/>
        </w:rPr>
        <w:t>Suradnja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sa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Turističkom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zajednicom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Grada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Trogira</w:t>
      </w:r>
      <w:r w:rsidRPr="00D6257D">
        <w:rPr>
          <w:rFonts w:asciiTheme="minorHAnsi" w:hAnsiTheme="minorHAnsi" w:cstheme="minorHAnsi"/>
          <w:color w:val="000000" w:themeColor="text1"/>
          <w:spacing w:val="-6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u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kontekstu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praćenja</w:t>
      </w:r>
      <w:r w:rsidRPr="00D6257D">
        <w:rPr>
          <w:rFonts w:asciiTheme="minorHAnsi" w:hAnsiTheme="minorHAnsi" w:cstheme="minorHAnsi"/>
          <w:color w:val="000000" w:themeColor="text1"/>
          <w:spacing w:val="-2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uživo događanja, izvještavanja o programu i gostovanju izvođača u</w:t>
      </w:r>
      <w:r w:rsidR="00CB1280" w:rsidRPr="00D6257D">
        <w:rPr>
          <w:rFonts w:asciiTheme="minorHAnsi" w:hAnsiTheme="minorHAnsi" w:cstheme="minorHAnsi"/>
          <w:color w:val="000000" w:themeColor="text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  <w:spacing w:val="-47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cilju</w:t>
      </w:r>
      <w:r w:rsidRPr="00D6257D">
        <w:rPr>
          <w:rFonts w:asciiTheme="minorHAnsi" w:hAnsiTheme="minorHAnsi" w:cstheme="minorHAnsi"/>
          <w:color w:val="000000" w:themeColor="text1"/>
          <w:spacing w:val="-3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dizanja kvalitete</w:t>
      </w:r>
      <w:r w:rsidRPr="00D6257D">
        <w:rPr>
          <w:rFonts w:asciiTheme="minorHAnsi" w:hAnsiTheme="minorHAnsi" w:cstheme="minorHAnsi"/>
          <w:color w:val="000000" w:themeColor="text1"/>
          <w:spacing w:val="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  <w:spacing w:val="-1"/>
        </w:rPr>
        <w:t xml:space="preserve"> </w:t>
      </w:r>
      <w:r w:rsidRPr="00D6257D">
        <w:rPr>
          <w:rFonts w:asciiTheme="minorHAnsi" w:hAnsiTheme="minorHAnsi" w:cstheme="minorHAnsi"/>
          <w:color w:val="000000" w:themeColor="text1"/>
        </w:rPr>
        <w:t>informiranj</w:t>
      </w:r>
      <w:r w:rsidR="00B93356" w:rsidRPr="00D6257D">
        <w:rPr>
          <w:rFonts w:asciiTheme="minorHAnsi" w:hAnsiTheme="minorHAnsi" w:cstheme="minorHAnsi"/>
          <w:color w:val="000000" w:themeColor="text1"/>
        </w:rPr>
        <w:t xml:space="preserve">a </w:t>
      </w:r>
      <w:r w:rsidRPr="00D6257D">
        <w:rPr>
          <w:rFonts w:asciiTheme="minorHAnsi" w:hAnsiTheme="minorHAnsi" w:cstheme="minorHAnsi"/>
          <w:color w:val="000000" w:themeColor="text1"/>
        </w:rPr>
        <w:t>građana;</w:t>
      </w:r>
      <w:r w:rsidR="00FB3782" w:rsidRPr="00D6257D">
        <w:rPr>
          <w:rFonts w:asciiTheme="minorHAnsi" w:hAnsiTheme="minorHAnsi" w:cstheme="minorHAnsi"/>
          <w:color w:val="000000" w:themeColor="text1"/>
        </w:rPr>
        <w:t xml:space="preserve"> Ukupni ostvareni prihodi u RJ Mediji u 202</w:t>
      </w:r>
      <w:r w:rsidR="00DB291D">
        <w:rPr>
          <w:rFonts w:asciiTheme="minorHAnsi" w:hAnsiTheme="minorHAnsi" w:cstheme="minorHAnsi"/>
          <w:color w:val="000000" w:themeColor="text1"/>
        </w:rPr>
        <w:t>5</w:t>
      </w:r>
      <w:r w:rsidR="00FB3782" w:rsidRPr="00D6257D">
        <w:rPr>
          <w:rFonts w:asciiTheme="minorHAnsi" w:hAnsiTheme="minorHAnsi" w:cstheme="minorHAnsi"/>
          <w:color w:val="000000" w:themeColor="text1"/>
        </w:rPr>
        <w:t>. godini iznosili su 3</w:t>
      </w:r>
      <w:r w:rsidR="00D6257D" w:rsidRPr="00D6257D">
        <w:rPr>
          <w:rFonts w:asciiTheme="minorHAnsi" w:hAnsiTheme="minorHAnsi" w:cstheme="minorHAnsi"/>
          <w:color w:val="000000" w:themeColor="text1"/>
        </w:rPr>
        <w:t>8.467,97</w:t>
      </w:r>
      <w:r w:rsidR="005E0575" w:rsidRPr="00D6257D">
        <w:rPr>
          <w:rFonts w:asciiTheme="minorHAnsi" w:hAnsiTheme="minorHAnsi" w:cstheme="minorHAnsi"/>
          <w:color w:val="000000" w:themeColor="text1"/>
        </w:rPr>
        <w:t xml:space="preserve"> EUR</w:t>
      </w:r>
      <w:r w:rsidR="00FB3782" w:rsidRPr="00D6257D">
        <w:rPr>
          <w:rFonts w:asciiTheme="minorHAnsi" w:hAnsiTheme="minorHAnsi" w:cstheme="minorHAnsi"/>
          <w:color w:val="000000" w:themeColor="text1"/>
        </w:rPr>
        <w:t>.</w:t>
      </w:r>
    </w:p>
    <w:p w14:paraId="07DF028B" w14:textId="74FC9981" w:rsidR="00172DD8" w:rsidRPr="00D6257D" w:rsidRDefault="00172DD8" w:rsidP="008E2063">
      <w:pPr>
        <w:pStyle w:val="Odlomakpopisa"/>
        <w:numPr>
          <w:ilvl w:val="0"/>
          <w:numId w:val="19"/>
        </w:numPr>
        <w:tabs>
          <w:tab w:val="left" w:pos="838"/>
          <w:tab w:val="left" w:pos="839"/>
        </w:tabs>
        <w:spacing w:before="19" w:line="259" w:lineRule="auto"/>
        <w:ind w:right="103" w:hanging="361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 xml:space="preserve">Tijekom 2025. godine u suradnji sa tvrtkom Media consulting provedena je analiza poslovanja , te je izrađen prijedlog optimizacije organizacijske struktrue, prijedlog unaprijeđenja programske osnove i digitalne transformacije, te prijedlog strategije razvoja dodatnih izvora prihoda za naredno razdoblje. </w:t>
      </w:r>
    </w:p>
    <w:p w14:paraId="4E9527EB" w14:textId="1E8CD980" w:rsidR="00127520" w:rsidRPr="00840AA8" w:rsidRDefault="0056401A" w:rsidP="008E2063">
      <w:pPr>
        <w:tabs>
          <w:tab w:val="left" w:pos="838"/>
          <w:tab w:val="left" w:pos="839"/>
        </w:tabs>
        <w:spacing w:before="19" w:line="259" w:lineRule="auto"/>
        <w:ind w:right="103"/>
        <w:jc w:val="both"/>
        <w:rPr>
          <w:rFonts w:cstheme="minorHAnsi"/>
          <w:color w:val="000000" w:themeColor="text1"/>
        </w:rPr>
      </w:pPr>
      <w:r w:rsidRPr="00840AA8">
        <w:rPr>
          <w:rFonts w:cstheme="minorHAnsi"/>
          <w:color w:val="000000" w:themeColor="text1"/>
        </w:rPr>
        <w:t xml:space="preserve">U radnoj jedinici </w:t>
      </w:r>
      <w:r w:rsidR="000E23F0" w:rsidRPr="00840AA8">
        <w:rPr>
          <w:rFonts w:cstheme="minorHAnsi"/>
          <w:color w:val="000000" w:themeColor="text1"/>
        </w:rPr>
        <w:t>mediji zaposleno je 9 djelatnika.</w:t>
      </w:r>
    </w:p>
    <w:p w14:paraId="09E53EF2" w14:textId="1AA79F7C" w:rsidR="000E23F0" w:rsidRPr="00840AA8" w:rsidRDefault="000E23F0" w:rsidP="000E23F0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840AA8">
        <w:rPr>
          <w:color w:val="000000" w:themeColor="text1"/>
        </w:rPr>
        <w:t>Troškovi zaposlenih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="002D1EFB" w:rsidRPr="00840AA8">
        <w:rPr>
          <w:color w:val="000000" w:themeColor="text1"/>
        </w:rPr>
        <w:t xml:space="preserve">            1</w:t>
      </w:r>
      <w:r w:rsidR="00E02C8A">
        <w:rPr>
          <w:color w:val="000000" w:themeColor="text1"/>
        </w:rPr>
        <w:t xml:space="preserve">53.447,94 </w:t>
      </w:r>
      <w:r w:rsidRPr="00840AA8">
        <w:rPr>
          <w:color w:val="000000" w:themeColor="text1"/>
        </w:rPr>
        <w:t>EUR</w:t>
      </w:r>
    </w:p>
    <w:p w14:paraId="5FB3C632" w14:textId="3DFC9FCF" w:rsidR="000E23F0" w:rsidRPr="00E02C8A" w:rsidRDefault="000E23F0" w:rsidP="000E23F0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</w:rPr>
      </w:pPr>
      <w:r w:rsidRPr="00E02C8A">
        <w:rPr>
          <w:color w:val="000000" w:themeColor="text1"/>
        </w:rPr>
        <w:t>Materijalni troškovi</w:t>
      </w:r>
      <w:r w:rsidR="00E02C8A">
        <w:rPr>
          <w:color w:val="000000" w:themeColor="text1"/>
        </w:rPr>
        <w:t xml:space="preserve"> i troškovi usluga</w:t>
      </w:r>
      <w:r w:rsidR="00E02C8A">
        <w:rPr>
          <w:color w:val="000000" w:themeColor="text1"/>
        </w:rPr>
        <w:tab/>
      </w:r>
      <w:r w:rsidR="00E02C8A">
        <w:rPr>
          <w:color w:val="000000" w:themeColor="text1"/>
        </w:rPr>
        <w:tab/>
      </w:r>
      <w:r w:rsidR="00E02C8A">
        <w:rPr>
          <w:color w:val="000000" w:themeColor="text1"/>
        </w:rPr>
        <w:tab/>
      </w:r>
      <w:r w:rsidR="00E02C8A">
        <w:rPr>
          <w:color w:val="000000" w:themeColor="text1"/>
        </w:rPr>
        <w:tab/>
        <w:t>29.346,02 EUR</w:t>
      </w:r>
      <w:r w:rsidR="00E02C8A">
        <w:rPr>
          <w:color w:val="000000" w:themeColor="text1"/>
        </w:rPr>
        <w:tab/>
      </w:r>
      <w:r w:rsidR="00E02C8A">
        <w:rPr>
          <w:color w:val="000000" w:themeColor="text1"/>
        </w:rPr>
        <w:tab/>
      </w:r>
    </w:p>
    <w:p w14:paraId="2F9406C6" w14:textId="32573214" w:rsidR="00E02C8A" w:rsidRPr="00840AA8" w:rsidRDefault="00E02C8A" w:rsidP="000E23F0">
      <w:pPr>
        <w:pStyle w:val="Bezproreda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  <w:bar w:val="nil"/>
        </w:pBdr>
        <w:jc w:val="both"/>
        <w:rPr>
          <w:color w:val="000000" w:themeColor="text1"/>
          <w:u w:val="single"/>
        </w:rPr>
      </w:pPr>
      <w:r>
        <w:rPr>
          <w:color w:val="000000" w:themeColor="text1"/>
          <w:u w:val="single"/>
        </w:rPr>
        <w:t>Ostali troškovi</w:t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</w:r>
      <w:r>
        <w:rPr>
          <w:color w:val="000000" w:themeColor="text1"/>
          <w:u w:val="single"/>
        </w:rPr>
        <w:tab/>
        <w:t>10.869,53 EUR</w:t>
      </w:r>
    </w:p>
    <w:p w14:paraId="0F341643" w14:textId="72149DF4" w:rsidR="000E23F0" w:rsidRPr="00840AA8" w:rsidRDefault="000E23F0" w:rsidP="00E02C8A">
      <w:pPr>
        <w:ind w:firstLine="360"/>
        <w:jc w:val="both"/>
        <w:rPr>
          <w:color w:val="000000" w:themeColor="text1"/>
        </w:rPr>
      </w:pPr>
      <w:r w:rsidRPr="00840AA8">
        <w:rPr>
          <w:color w:val="000000" w:themeColor="text1"/>
        </w:rPr>
        <w:t xml:space="preserve">Ukupno utrošeno:  </w:t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</w:r>
      <w:r w:rsidRPr="00840AA8">
        <w:rPr>
          <w:color w:val="000000" w:themeColor="text1"/>
        </w:rPr>
        <w:tab/>
        <w:t xml:space="preserve">                                        </w:t>
      </w:r>
      <w:r w:rsidR="00C85FCA" w:rsidRPr="00840AA8">
        <w:rPr>
          <w:color w:val="000000" w:themeColor="text1"/>
        </w:rPr>
        <w:t>1</w:t>
      </w:r>
      <w:r w:rsidR="00E02C8A">
        <w:rPr>
          <w:color w:val="000000" w:themeColor="text1"/>
        </w:rPr>
        <w:t>93.663,49</w:t>
      </w:r>
      <w:r w:rsidRPr="00840AA8">
        <w:rPr>
          <w:color w:val="000000" w:themeColor="text1"/>
        </w:rPr>
        <w:t xml:space="preserve"> EUR</w:t>
      </w:r>
      <w:r w:rsidRPr="00840AA8">
        <w:rPr>
          <w:color w:val="000000" w:themeColor="text1"/>
        </w:rPr>
        <w:tab/>
      </w:r>
    </w:p>
    <w:p w14:paraId="25470F66" w14:textId="6431BDEB" w:rsidR="00063F8F" w:rsidRPr="00EF5228" w:rsidRDefault="00063F8F" w:rsidP="00E659DA">
      <w:pPr>
        <w:jc w:val="both"/>
        <w:rPr>
          <w:rFonts w:ascii="Arial" w:hAnsi="Arial" w:cs="Arial"/>
          <w:color w:val="CC9900"/>
          <w:sz w:val="28"/>
          <w:szCs w:val="28"/>
        </w:rPr>
      </w:pPr>
      <w:r w:rsidRPr="00EF5228">
        <w:rPr>
          <w:rFonts w:ascii="Arial" w:hAnsi="Arial" w:cs="Arial"/>
          <w:color w:val="CC9900"/>
          <w:sz w:val="28"/>
          <w:szCs w:val="28"/>
        </w:rPr>
        <w:lastRenderedPageBreak/>
        <w:t>FINA</w:t>
      </w:r>
      <w:r w:rsidR="001853C1">
        <w:rPr>
          <w:rFonts w:ascii="Arial" w:hAnsi="Arial" w:cs="Arial"/>
          <w:color w:val="CC9900"/>
          <w:sz w:val="28"/>
          <w:szCs w:val="28"/>
        </w:rPr>
        <w:t>N</w:t>
      </w:r>
      <w:r w:rsidRPr="00EF5228">
        <w:rPr>
          <w:rFonts w:ascii="Arial" w:hAnsi="Arial" w:cs="Arial"/>
          <w:color w:val="CC9900"/>
          <w:sz w:val="28"/>
          <w:szCs w:val="28"/>
        </w:rPr>
        <w:t>CIJSKA IZVJEŠĆA</w:t>
      </w:r>
    </w:p>
    <w:p w14:paraId="4A551F86" w14:textId="5D50329C" w:rsidR="004E001D" w:rsidRPr="00FD216D" w:rsidRDefault="004E001D" w:rsidP="00E659DA">
      <w:pPr>
        <w:jc w:val="both"/>
        <w:rPr>
          <w:rFonts w:cstheme="minorHAnsi"/>
        </w:rPr>
      </w:pPr>
      <w:r w:rsidRPr="00FD216D">
        <w:rPr>
          <w:rFonts w:cstheme="minorHAnsi"/>
        </w:rPr>
        <w:t>U ovom dijelu prikazana je analiza financijskih izvještaja Društva u razdoblju 202</w:t>
      </w:r>
      <w:r w:rsidR="00E02C8A">
        <w:rPr>
          <w:rFonts w:cstheme="minorHAnsi"/>
        </w:rPr>
        <w:t>4</w:t>
      </w:r>
      <w:r w:rsidRPr="00FD216D">
        <w:rPr>
          <w:rFonts w:cstheme="minorHAnsi"/>
        </w:rPr>
        <w:t>. i 202</w:t>
      </w:r>
      <w:r w:rsidR="00E02C8A">
        <w:rPr>
          <w:rFonts w:cstheme="minorHAnsi"/>
        </w:rPr>
        <w:t>5</w:t>
      </w:r>
      <w:r w:rsidRPr="00FD216D">
        <w:rPr>
          <w:rFonts w:cstheme="minorHAnsi"/>
        </w:rPr>
        <w:t>.</w:t>
      </w:r>
      <w:r w:rsidR="00BE5021" w:rsidRPr="00FD216D">
        <w:rPr>
          <w:rFonts w:cstheme="minorHAnsi"/>
        </w:rPr>
        <w:t xml:space="preserve"> godine.</w:t>
      </w:r>
      <w:r w:rsidR="00A269A8">
        <w:rPr>
          <w:rFonts w:cstheme="minorHAnsi"/>
        </w:rPr>
        <w:t xml:space="preserve">              </w:t>
      </w:r>
      <w:r w:rsidR="0080142D" w:rsidRPr="00FD216D">
        <w:rPr>
          <w:rFonts w:cstheme="minorHAnsi"/>
        </w:rPr>
        <w:t xml:space="preserve"> ( u </w:t>
      </w:r>
      <w:r w:rsidR="006A63A6">
        <w:rPr>
          <w:rFonts w:cstheme="minorHAnsi"/>
        </w:rPr>
        <w:t>eurima)</w:t>
      </w:r>
    </w:p>
    <w:p w14:paraId="7FF7C2E9" w14:textId="52288C3D" w:rsidR="00063F8F" w:rsidRPr="00E659DA" w:rsidRDefault="00063F8F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659DA">
        <w:rPr>
          <w:rFonts w:ascii="Arial" w:hAnsi="Arial" w:cs="Arial"/>
          <w:b/>
          <w:bCs/>
          <w:sz w:val="24"/>
          <w:szCs w:val="24"/>
        </w:rPr>
        <w:t>BILANCA DRUŠTVA TROGIR HOLDING d.o.o. u 202</w:t>
      </w:r>
      <w:r w:rsidR="00AA7EC4">
        <w:rPr>
          <w:rFonts w:ascii="Arial" w:hAnsi="Arial" w:cs="Arial"/>
          <w:b/>
          <w:bCs/>
          <w:sz w:val="24"/>
          <w:szCs w:val="24"/>
        </w:rPr>
        <w:t>4</w:t>
      </w:r>
      <w:r w:rsidRPr="00E659DA">
        <w:rPr>
          <w:rFonts w:ascii="Arial" w:hAnsi="Arial" w:cs="Arial"/>
          <w:b/>
          <w:bCs/>
          <w:sz w:val="24"/>
          <w:szCs w:val="24"/>
        </w:rPr>
        <w:t>.</w:t>
      </w:r>
      <w:r w:rsidR="00BE5021">
        <w:rPr>
          <w:rFonts w:ascii="Arial" w:hAnsi="Arial" w:cs="Arial"/>
          <w:b/>
          <w:bCs/>
          <w:sz w:val="24"/>
          <w:szCs w:val="24"/>
        </w:rPr>
        <w:t>g.</w:t>
      </w:r>
      <w:r w:rsidRPr="00E659DA">
        <w:rPr>
          <w:rFonts w:ascii="Arial" w:hAnsi="Arial" w:cs="Arial"/>
          <w:b/>
          <w:bCs/>
          <w:sz w:val="24"/>
          <w:szCs w:val="24"/>
        </w:rPr>
        <w:t xml:space="preserve"> i 202</w:t>
      </w:r>
      <w:r w:rsidR="00AA7EC4">
        <w:rPr>
          <w:rFonts w:ascii="Arial" w:hAnsi="Arial" w:cs="Arial"/>
          <w:b/>
          <w:bCs/>
          <w:sz w:val="24"/>
          <w:szCs w:val="24"/>
        </w:rPr>
        <w:t>5</w:t>
      </w:r>
      <w:r w:rsidRPr="00E659DA">
        <w:rPr>
          <w:rFonts w:ascii="Arial" w:hAnsi="Arial" w:cs="Arial"/>
          <w:b/>
          <w:bCs/>
          <w:sz w:val="24"/>
          <w:szCs w:val="24"/>
        </w:rPr>
        <w:t>.</w:t>
      </w:r>
      <w:r w:rsidR="00BE5021">
        <w:rPr>
          <w:rFonts w:ascii="Arial" w:hAnsi="Arial" w:cs="Arial"/>
          <w:b/>
          <w:bCs/>
          <w:sz w:val="24"/>
          <w:szCs w:val="24"/>
        </w:rPr>
        <w:t>g.</w:t>
      </w:r>
    </w:p>
    <w:p w14:paraId="3A4C27FE" w14:textId="23ED95BA" w:rsidR="00063F8F" w:rsidRDefault="00063F8F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659DA">
        <w:rPr>
          <w:rFonts w:ascii="Arial" w:hAnsi="Arial" w:cs="Arial"/>
          <w:i/>
          <w:iCs/>
          <w:sz w:val="18"/>
          <w:szCs w:val="18"/>
        </w:rPr>
        <w:t>Tablica</w:t>
      </w:r>
      <w:r w:rsidR="004E001D" w:rsidRPr="00E659DA">
        <w:rPr>
          <w:rFonts w:ascii="Arial" w:hAnsi="Arial" w:cs="Arial"/>
          <w:i/>
          <w:iCs/>
          <w:sz w:val="18"/>
          <w:szCs w:val="18"/>
        </w:rPr>
        <w:t xml:space="preserve"> 1.</w:t>
      </w:r>
      <w:r w:rsidRPr="00E659DA">
        <w:rPr>
          <w:rFonts w:ascii="Arial" w:hAnsi="Arial" w:cs="Arial"/>
          <w:i/>
          <w:iCs/>
          <w:sz w:val="18"/>
          <w:szCs w:val="18"/>
        </w:rPr>
        <w:t>Bilanca Društva za 202</w:t>
      </w:r>
      <w:r w:rsidR="00AA7EC4">
        <w:rPr>
          <w:rFonts w:ascii="Arial" w:hAnsi="Arial" w:cs="Arial"/>
          <w:i/>
          <w:iCs/>
          <w:sz w:val="18"/>
          <w:szCs w:val="18"/>
        </w:rPr>
        <w:t>4</w:t>
      </w:r>
      <w:r w:rsidRPr="00E659DA">
        <w:rPr>
          <w:rFonts w:ascii="Arial" w:hAnsi="Arial" w:cs="Arial"/>
          <w:i/>
          <w:iCs/>
          <w:sz w:val="18"/>
          <w:szCs w:val="18"/>
        </w:rPr>
        <w:t>.</w:t>
      </w:r>
      <w:r w:rsidR="00BE5021">
        <w:rPr>
          <w:rFonts w:ascii="Arial" w:hAnsi="Arial" w:cs="Arial"/>
          <w:i/>
          <w:iCs/>
          <w:sz w:val="18"/>
          <w:szCs w:val="18"/>
        </w:rPr>
        <w:t xml:space="preserve"> g.</w:t>
      </w:r>
      <w:r w:rsidRPr="00E659DA">
        <w:rPr>
          <w:rFonts w:ascii="Arial" w:hAnsi="Arial" w:cs="Arial"/>
          <w:i/>
          <w:iCs/>
          <w:sz w:val="18"/>
          <w:szCs w:val="18"/>
        </w:rPr>
        <w:t xml:space="preserve"> i 202</w:t>
      </w:r>
      <w:r w:rsidR="00AA7EC4">
        <w:rPr>
          <w:rFonts w:ascii="Arial" w:hAnsi="Arial" w:cs="Arial"/>
          <w:i/>
          <w:iCs/>
          <w:sz w:val="18"/>
          <w:szCs w:val="18"/>
        </w:rPr>
        <w:t>5.</w:t>
      </w:r>
      <w:r w:rsidR="00BE5021">
        <w:rPr>
          <w:rFonts w:ascii="Arial" w:hAnsi="Arial" w:cs="Arial"/>
          <w:i/>
          <w:iCs/>
          <w:sz w:val="18"/>
          <w:szCs w:val="18"/>
        </w:rPr>
        <w:t>g.</w:t>
      </w:r>
      <w:r w:rsidR="00651A2F">
        <w:rPr>
          <w:rFonts w:ascii="Arial" w:hAnsi="Arial" w:cs="Arial"/>
          <w:i/>
          <w:iCs/>
          <w:sz w:val="18"/>
          <w:szCs w:val="18"/>
        </w:rPr>
        <w:t>( iznos u eurima)</w:t>
      </w:r>
    </w:p>
    <w:tbl>
      <w:tblPr>
        <w:tblW w:w="9014" w:type="dxa"/>
        <w:tblLook w:val="04A0" w:firstRow="1" w:lastRow="0" w:firstColumn="1" w:lastColumn="0" w:noHBand="0" w:noVBand="1"/>
      </w:tblPr>
      <w:tblGrid>
        <w:gridCol w:w="6065"/>
        <w:gridCol w:w="1474"/>
        <w:gridCol w:w="1475"/>
      </w:tblGrid>
      <w:tr w:rsidR="003F5971" w:rsidRPr="00865E84" w14:paraId="7AC213F2" w14:textId="77777777" w:rsidTr="003F5971">
        <w:trPr>
          <w:trHeight w:val="513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E58C807" w14:textId="77777777" w:rsidR="003F5971" w:rsidRPr="00865E84" w:rsidRDefault="003F5971" w:rsidP="003F59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EFEA2C4" w14:textId="77777777" w:rsidR="003F5971" w:rsidRPr="00865E84" w:rsidRDefault="003F5971" w:rsidP="003F59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2024. godina</w:t>
            </w:r>
          </w:p>
        </w:tc>
        <w:tc>
          <w:tcPr>
            <w:tcW w:w="14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79B6F42B" w14:textId="77777777" w:rsidR="003F5971" w:rsidRPr="00865E84" w:rsidRDefault="003F5971" w:rsidP="003F59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2025. godina</w:t>
            </w:r>
          </w:p>
        </w:tc>
      </w:tr>
      <w:tr w:rsidR="003F5971" w:rsidRPr="00865E84" w14:paraId="2A9A1E09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028434B6" w14:textId="77777777" w:rsidR="003F5971" w:rsidRPr="00865E84" w:rsidRDefault="003F5971" w:rsidP="003F59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24E6DF18" w14:textId="3BBEF05A" w:rsidR="003F5971" w:rsidRPr="00865E84" w:rsidRDefault="00A90FDC" w:rsidP="003F59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C9EC"/>
            <w:vAlign w:val="center"/>
            <w:hideMark/>
          </w:tcPr>
          <w:p w14:paraId="48095F4E" w14:textId="497D6AE0" w:rsidR="003F5971" w:rsidRPr="00865E84" w:rsidRDefault="00A90FDC" w:rsidP="003F5971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3</w:t>
            </w:r>
          </w:p>
        </w:tc>
      </w:tr>
      <w:tr w:rsidR="003F5971" w:rsidRPr="00865E84" w14:paraId="25F92F9B" w14:textId="77777777" w:rsidTr="003F5971">
        <w:trPr>
          <w:trHeight w:val="256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757F0BEB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AKTIVA</w:t>
            </w:r>
          </w:p>
        </w:tc>
      </w:tr>
      <w:tr w:rsidR="003F5971" w:rsidRPr="00865E84" w14:paraId="67C964CC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42340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A)  POTRAŽIVANJA ZA UPISANI A NEUPLAĆENI KAPITAL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93534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AD565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</w:tr>
      <w:tr w:rsidR="003F5971" w:rsidRPr="00865E84" w14:paraId="184CFD86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CCF89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B)  DUGOTRAJNA IMOVINA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003+010+020+031+036)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2840D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2.325.832,81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30B2EC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2.333.731,10</w:t>
            </w:r>
          </w:p>
        </w:tc>
      </w:tr>
      <w:tr w:rsidR="003F5971" w:rsidRPr="00865E84" w14:paraId="52146958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C5D6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I. NEMATERIJALNA IMOVINA (AOP 004 do 009)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007983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99.121,35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571A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71.091,83</w:t>
            </w:r>
          </w:p>
        </w:tc>
      </w:tr>
      <w:tr w:rsidR="003F5971" w:rsidRPr="00865E84" w14:paraId="4D343C34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1A3A32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II. MATERIJALNA IMOVINA (AOP 011 do 019)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377937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2.226.082,36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1FFEF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2.262.289,77</w:t>
            </w:r>
          </w:p>
        </w:tc>
      </w:tr>
      <w:tr w:rsidR="003F5971" w:rsidRPr="00865E84" w14:paraId="25231796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6828F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III. DUGOTRAJNA FINANCIJSKA IMOVINA (AOP 021 do 030)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BA8D3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8890AD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3F5971" w:rsidRPr="00865E84" w14:paraId="0DA4BCD1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CAE0F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IV. POTRAŽIVANJA (AOP 032 do 035)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E43BF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629,10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39EF79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349,50</w:t>
            </w:r>
          </w:p>
        </w:tc>
      </w:tr>
      <w:tr w:rsidR="003F5971" w:rsidRPr="00865E84" w14:paraId="3BCB4EB0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C58D3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V. ODGOĐENA POREZNA IMOVINA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18414A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8D74EC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</w:tr>
      <w:tr w:rsidR="003F5971" w:rsidRPr="00865E84" w14:paraId="53018EBD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67E53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C)  KRATKOTRAJNA IMOVINA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038+046+053+063)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8D51A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1.698.422,54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93FA9A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2.033.573,54</w:t>
            </w:r>
          </w:p>
        </w:tc>
      </w:tr>
      <w:tr w:rsidR="003F5971" w:rsidRPr="00865E84" w14:paraId="2FB173D0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DCA58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I. ZALIHE (AOP 039 do 045)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894A4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86.495,72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B4F64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93.488,27</w:t>
            </w:r>
          </w:p>
        </w:tc>
      </w:tr>
      <w:tr w:rsidR="003F5971" w:rsidRPr="00865E84" w14:paraId="6045D3A3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4CD27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II. POTRAŽIVANJA (AOP 047 do 052)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F1BCC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563.579,16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4A37A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499.068,37</w:t>
            </w:r>
          </w:p>
        </w:tc>
      </w:tr>
      <w:tr w:rsidR="003F5971" w:rsidRPr="00865E84" w14:paraId="7DF57C15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5097A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III. KRATKOTRAJNA FINANCIJSKA IMOVINA (AOP 054 do 062)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D9716D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250.000,00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E12FD9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610.000,00</w:t>
            </w:r>
          </w:p>
        </w:tc>
      </w:tr>
      <w:tr w:rsidR="003F5971" w:rsidRPr="00865E84" w14:paraId="70264ADB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63354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IV. NOVAC U BANCI I BLAGAJNI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0C0789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798.347,66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8A13CB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831.016,90</w:t>
            </w:r>
          </w:p>
        </w:tc>
      </w:tr>
      <w:tr w:rsidR="003F5971" w:rsidRPr="00865E84" w14:paraId="6095AA53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93FF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D)  PLAĆENI TROŠKOVI BUDUĆEG RAZDOBLJA I OBRAČUNATI</w:t>
            </w: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br/>
              <w:t xml:space="preserve">      PRIHODI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C4486C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14.937,81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1B2635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15.692,18</w:t>
            </w:r>
          </w:p>
        </w:tc>
      </w:tr>
      <w:tr w:rsidR="003F5971" w:rsidRPr="00865E84" w14:paraId="0E90722A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B421A5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E)  UKUPNO AKTIVA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001+002+037+064)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7B9B92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4.039.193,16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0C07B4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4.382.996,82</w:t>
            </w:r>
          </w:p>
        </w:tc>
      </w:tr>
      <w:tr w:rsidR="003F5971" w:rsidRPr="00865E84" w14:paraId="6A1AC204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6CB4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F)  IZVANBILANČNI ZAPISI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1F1D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2.098.876,28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980B0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2.098.876,28</w:t>
            </w:r>
          </w:p>
        </w:tc>
      </w:tr>
      <w:tr w:rsidR="003F5971" w:rsidRPr="00865E84" w14:paraId="40B2D518" w14:textId="77777777" w:rsidTr="003F5971">
        <w:trPr>
          <w:trHeight w:val="256"/>
        </w:trPr>
        <w:tc>
          <w:tcPr>
            <w:tcW w:w="90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14:paraId="1F920ABE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PASIVA</w:t>
            </w:r>
          </w:p>
        </w:tc>
      </w:tr>
      <w:tr w:rsidR="003F5971" w:rsidRPr="00865E84" w14:paraId="3AAE6DAC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5CACB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A)  KAPITAL I REZERVE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068 do 070+076+077+084+087+090)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6195C1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1.324.758,30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AD5F2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1.398.523,23</w:t>
            </w:r>
          </w:p>
        </w:tc>
      </w:tr>
      <w:tr w:rsidR="003F5971" w:rsidRPr="00865E84" w14:paraId="2729A123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22145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I. TEMELJNI (UPISANI) KAPITAL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B3405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836.140,00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80F23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836.140,00</w:t>
            </w:r>
          </w:p>
        </w:tc>
      </w:tr>
      <w:tr w:rsidR="003F5971" w:rsidRPr="00865E84" w14:paraId="4E17C0E7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177304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II. KAPITALNE REZERVE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415E1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50.943,48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81FC5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50.943,48</w:t>
            </w:r>
          </w:p>
        </w:tc>
      </w:tr>
      <w:tr w:rsidR="003F5971" w:rsidRPr="00865E84" w14:paraId="3546D394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2CF9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III. REZERVE IZ DOBITI (AOP 071+072-073+074+075)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D9F1C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1CFDF1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3F5971" w:rsidRPr="00865E84" w14:paraId="548F9FFB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FA41D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IV. REVALORIZACIJSKE REZERVE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B7D41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02B08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</w:tr>
      <w:tr w:rsidR="003F5971" w:rsidRPr="00865E84" w14:paraId="267549B3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9445D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 xml:space="preserve"> V. REZERVE FER VRIJEDNOSTI I OSTALO (AOP 078 do 083)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C07802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C89E7F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0,00</w:t>
            </w:r>
          </w:p>
        </w:tc>
      </w:tr>
      <w:tr w:rsidR="003F5971" w:rsidRPr="00865E84" w14:paraId="3ABD0149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993084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VI. ZADRŽANA DOBIT ILI PRENESENI GUBITAK (AOP 085-086)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E725A7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402.736,28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C282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437.674,82</w:t>
            </w:r>
          </w:p>
        </w:tc>
      </w:tr>
      <w:tr w:rsidR="003F5971" w:rsidRPr="00865E84" w14:paraId="0ECA9E01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7324B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VII. DOBIT ILI GUBITAK POSLOVNE GODINE (AOP 088-089)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81733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34.938,54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DC424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73.764,93</w:t>
            </w:r>
          </w:p>
        </w:tc>
      </w:tr>
      <w:tr w:rsidR="003F5971" w:rsidRPr="00865E84" w14:paraId="6C950B34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1C48D5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VIII. MANJINSKI (NEKONTROLIRAJUĆI) INTERES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22DD41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8F0A90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 </w:t>
            </w:r>
          </w:p>
        </w:tc>
      </w:tr>
      <w:tr w:rsidR="003F5971" w:rsidRPr="00865E84" w14:paraId="4A6EA92F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BC260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B)  REZERVIRANJA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092 do 097)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CB9B7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424.124,90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2D56FB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450.265,29</w:t>
            </w:r>
          </w:p>
        </w:tc>
      </w:tr>
      <w:tr w:rsidR="003F5971" w:rsidRPr="00865E84" w14:paraId="0C06964C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5D4D4A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C)  DUGOROČNE OBVEZE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099 do 109)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6AC1DD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1.122.020,42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BF4AE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1.239.761,50</w:t>
            </w:r>
          </w:p>
        </w:tc>
      </w:tr>
      <w:tr w:rsidR="003F5971" w:rsidRPr="00865E84" w14:paraId="462AB903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0A857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D)  KRATKOROČNE OBVEZE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111 do 124)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06FD6D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850.693,02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35271F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733.339,36</w:t>
            </w:r>
          </w:p>
        </w:tc>
      </w:tr>
      <w:tr w:rsidR="003F5971" w:rsidRPr="00865E84" w14:paraId="7AE10E5A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87F61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 xml:space="preserve">F) UKUPNO – PASIVA </w:t>
            </w: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(AOP 067+091+098+110+125)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0B9D88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4.039.193,16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A73676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4.382.996,82</w:t>
            </w:r>
          </w:p>
        </w:tc>
      </w:tr>
      <w:tr w:rsidR="003F5971" w:rsidRPr="00865E84" w14:paraId="35ECBA6F" w14:textId="77777777" w:rsidTr="003F5971">
        <w:trPr>
          <w:trHeight w:val="256"/>
        </w:trPr>
        <w:tc>
          <w:tcPr>
            <w:tcW w:w="6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8975" w14:textId="77777777" w:rsidR="003F5971" w:rsidRPr="00865E84" w:rsidRDefault="003F5971" w:rsidP="003F5971">
            <w:pPr>
              <w:spacing w:after="0" w:line="240" w:lineRule="auto"/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b/>
                <w:bCs/>
                <w:sz w:val="18"/>
                <w:szCs w:val="18"/>
                <w:lang w:eastAsia="hr-HR"/>
              </w:rPr>
              <w:t>G)  IZVANBILANČNI ZAPISI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D62398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2.098.876,28</w:t>
            </w:r>
          </w:p>
        </w:tc>
        <w:tc>
          <w:tcPr>
            <w:tcW w:w="14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0731B" w14:textId="77777777" w:rsidR="003F5971" w:rsidRPr="00865E84" w:rsidRDefault="003F5971" w:rsidP="003F5971">
            <w:pPr>
              <w:spacing w:after="0" w:line="240" w:lineRule="auto"/>
              <w:jc w:val="right"/>
              <w:rPr>
                <w:rFonts w:eastAsia="Times New Roman" w:cstheme="minorHAnsi"/>
                <w:sz w:val="18"/>
                <w:szCs w:val="18"/>
                <w:lang w:eastAsia="hr-HR"/>
              </w:rPr>
            </w:pPr>
            <w:r w:rsidRPr="00865E84">
              <w:rPr>
                <w:rFonts w:eastAsia="Times New Roman" w:cstheme="minorHAnsi"/>
                <w:sz w:val="18"/>
                <w:szCs w:val="18"/>
                <w:lang w:eastAsia="hr-HR"/>
              </w:rPr>
              <w:t>2.098.876,28</w:t>
            </w:r>
          </w:p>
        </w:tc>
      </w:tr>
    </w:tbl>
    <w:p w14:paraId="7701C3C7" w14:textId="77777777" w:rsidR="00AA7EC4" w:rsidRDefault="00AA7EC4" w:rsidP="00E659DA">
      <w:pPr>
        <w:jc w:val="both"/>
        <w:rPr>
          <w:rFonts w:cstheme="minorHAnsi"/>
        </w:rPr>
      </w:pPr>
    </w:p>
    <w:p w14:paraId="6868A35D" w14:textId="319768CE" w:rsidR="00063F8F" w:rsidRPr="003830E9" w:rsidRDefault="00063F8F" w:rsidP="00E659DA">
      <w:pPr>
        <w:jc w:val="both"/>
        <w:rPr>
          <w:rFonts w:cstheme="minorHAnsi"/>
        </w:rPr>
      </w:pPr>
      <w:r w:rsidRPr="003830E9">
        <w:rPr>
          <w:rFonts w:cstheme="minorHAnsi"/>
        </w:rPr>
        <w:t>Na dan 31.12.202</w:t>
      </w:r>
      <w:r w:rsidR="00865E84">
        <w:rPr>
          <w:rFonts w:cstheme="minorHAnsi"/>
        </w:rPr>
        <w:t>5</w:t>
      </w:r>
      <w:r w:rsidRPr="003830E9">
        <w:rPr>
          <w:rFonts w:cstheme="minorHAnsi"/>
        </w:rPr>
        <w:t xml:space="preserve">. godine imovina poduzeća iznosila je </w:t>
      </w:r>
      <w:r w:rsidR="003728C3" w:rsidRPr="003728C3">
        <w:rPr>
          <w:rFonts w:cstheme="minorHAnsi"/>
        </w:rPr>
        <w:t>4</w:t>
      </w:r>
      <w:r w:rsidR="003728C3">
        <w:rPr>
          <w:rFonts w:cstheme="minorHAnsi"/>
        </w:rPr>
        <w:t>.</w:t>
      </w:r>
      <w:r w:rsidR="00865E84">
        <w:rPr>
          <w:rFonts w:cstheme="minorHAnsi"/>
        </w:rPr>
        <w:t>382.996,82</w:t>
      </w:r>
      <w:r w:rsidR="003728C3">
        <w:rPr>
          <w:rFonts w:cstheme="minorHAnsi"/>
        </w:rPr>
        <w:t xml:space="preserve"> </w:t>
      </w:r>
      <w:r w:rsidR="003830E9" w:rsidRPr="003830E9">
        <w:rPr>
          <w:rFonts w:cstheme="minorHAnsi"/>
        </w:rPr>
        <w:t>EUR</w:t>
      </w:r>
      <w:r w:rsidRPr="003830E9">
        <w:rPr>
          <w:rFonts w:cstheme="minorHAnsi"/>
        </w:rPr>
        <w:t xml:space="preserve"> od čega je dugotrajna imovina iznosila </w:t>
      </w:r>
      <w:r w:rsidR="003830E9" w:rsidRPr="003830E9">
        <w:rPr>
          <w:rFonts w:cstheme="minorHAnsi"/>
        </w:rPr>
        <w:t>2.</w:t>
      </w:r>
      <w:r w:rsidR="008133CC">
        <w:rPr>
          <w:rFonts w:cstheme="minorHAnsi"/>
        </w:rPr>
        <w:t>3</w:t>
      </w:r>
      <w:r w:rsidR="00865E84">
        <w:rPr>
          <w:rFonts w:cstheme="minorHAnsi"/>
        </w:rPr>
        <w:t>33.731,10</w:t>
      </w:r>
      <w:r w:rsidRPr="003830E9">
        <w:rPr>
          <w:rFonts w:cstheme="minorHAnsi"/>
        </w:rPr>
        <w:t xml:space="preserve"> </w:t>
      </w:r>
      <w:r w:rsidR="003830E9" w:rsidRPr="003830E9">
        <w:rPr>
          <w:rFonts w:cstheme="minorHAnsi"/>
        </w:rPr>
        <w:t>EUR</w:t>
      </w:r>
      <w:r w:rsidRPr="003830E9">
        <w:rPr>
          <w:rFonts w:cstheme="minorHAnsi"/>
        </w:rPr>
        <w:t xml:space="preserve"> (</w:t>
      </w:r>
      <w:r w:rsidR="003728C3">
        <w:rPr>
          <w:rFonts w:cstheme="minorHAnsi"/>
        </w:rPr>
        <w:t>5</w:t>
      </w:r>
      <w:r w:rsidR="00865E84">
        <w:rPr>
          <w:rFonts w:cstheme="minorHAnsi"/>
        </w:rPr>
        <w:t>3,25</w:t>
      </w:r>
      <w:r w:rsidR="003830E9" w:rsidRPr="003830E9">
        <w:rPr>
          <w:rFonts w:cstheme="minorHAnsi"/>
        </w:rPr>
        <w:t xml:space="preserve"> </w:t>
      </w:r>
      <w:r w:rsidRPr="003830E9">
        <w:rPr>
          <w:rFonts w:cstheme="minorHAnsi"/>
        </w:rPr>
        <w:t>%), a kratkotrajna imovina</w:t>
      </w:r>
      <w:r w:rsidR="00EC6855" w:rsidRPr="003830E9">
        <w:rPr>
          <w:rFonts w:cstheme="minorHAnsi"/>
        </w:rPr>
        <w:t xml:space="preserve"> </w:t>
      </w:r>
      <w:r w:rsidR="00865E84">
        <w:rPr>
          <w:rFonts w:cstheme="minorHAnsi"/>
        </w:rPr>
        <w:t>2.033.573,54</w:t>
      </w:r>
      <w:r w:rsidR="003728C3">
        <w:rPr>
          <w:rFonts w:cstheme="minorHAnsi"/>
        </w:rPr>
        <w:t xml:space="preserve"> </w:t>
      </w:r>
      <w:r w:rsidR="003830E9" w:rsidRPr="003830E9">
        <w:rPr>
          <w:rFonts w:cstheme="minorHAnsi"/>
        </w:rPr>
        <w:t>EUR</w:t>
      </w:r>
      <w:r w:rsidRPr="003830E9">
        <w:rPr>
          <w:rFonts w:cstheme="minorHAnsi"/>
        </w:rPr>
        <w:t xml:space="preserve"> (</w:t>
      </w:r>
      <w:r w:rsidR="003728C3">
        <w:rPr>
          <w:rFonts w:cstheme="minorHAnsi"/>
        </w:rPr>
        <w:t>4</w:t>
      </w:r>
      <w:r w:rsidR="00865E84">
        <w:rPr>
          <w:rFonts w:cstheme="minorHAnsi"/>
        </w:rPr>
        <w:t>6,40</w:t>
      </w:r>
      <w:r w:rsidR="00EC6855" w:rsidRPr="003830E9">
        <w:rPr>
          <w:rFonts w:cstheme="minorHAnsi"/>
        </w:rPr>
        <w:t xml:space="preserve"> </w:t>
      </w:r>
      <w:r w:rsidRPr="003830E9">
        <w:rPr>
          <w:rFonts w:cstheme="minorHAnsi"/>
        </w:rPr>
        <w:t>%).</w:t>
      </w:r>
    </w:p>
    <w:p w14:paraId="46D2B92C" w14:textId="7772022A" w:rsidR="00063F8F" w:rsidRPr="00520D1B" w:rsidRDefault="00063F8F" w:rsidP="00E659DA">
      <w:pPr>
        <w:jc w:val="both"/>
        <w:rPr>
          <w:rFonts w:cstheme="minorHAnsi"/>
        </w:rPr>
      </w:pPr>
      <w:r w:rsidRPr="00520D1B">
        <w:rPr>
          <w:rFonts w:cstheme="minorHAnsi"/>
        </w:rPr>
        <w:t xml:space="preserve">U strukturi dugotrajne imovine, nematerijalna imovina iznosi </w:t>
      </w:r>
      <w:r w:rsidR="00865E84">
        <w:rPr>
          <w:rFonts w:cstheme="minorHAnsi"/>
        </w:rPr>
        <w:t>71.091,83</w:t>
      </w:r>
      <w:r w:rsidR="00520D1B" w:rsidRPr="00520D1B">
        <w:rPr>
          <w:rFonts w:cstheme="minorHAnsi"/>
        </w:rPr>
        <w:t xml:space="preserve"> EUR</w:t>
      </w:r>
      <w:r w:rsidRPr="00520D1B">
        <w:rPr>
          <w:rFonts w:cstheme="minorHAnsi"/>
        </w:rPr>
        <w:t xml:space="preserve"> (</w:t>
      </w:r>
      <w:r w:rsidR="00865E84">
        <w:rPr>
          <w:rFonts w:cstheme="minorHAnsi"/>
        </w:rPr>
        <w:t>3,05</w:t>
      </w:r>
      <w:r w:rsidR="00EC6855" w:rsidRPr="00520D1B">
        <w:rPr>
          <w:rFonts w:cstheme="minorHAnsi"/>
        </w:rPr>
        <w:t xml:space="preserve"> </w:t>
      </w:r>
      <w:r w:rsidRPr="00520D1B">
        <w:rPr>
          <w:rFonts w:cstheme="minorHAnsi"/>
        </w:rPr>
        <w:t xml:space="preserve">%), materijalna imovina iznosi </w:t>
      </w:r>
      <w:r w:rsidR="00520D1B" w:rsidRPr="00520D1B">
        <w:rPr>
          <w:rFonts w:cstheme="minorHAnsi"/>
        </w:rPr>
        <w:t>2.</w:t>
      </w:r>
      <w:r w:rsidR="00865E84">
        <w:rPr>
          <w:rFonts w:cstheme="minorHAnsi"/>
        </w:rPr>
        <w:t>262.289,77</w:t>
      </w:r>
      <w:r w:rsidRPr="00520D1B">
        <w:rPr>
          <w:rFonts w:cstheme="minorHAnsi"/>
        </w:rPr>
        <w:t xml:space="preserve"> </w:t>
      </w:r>
      <w:r w:rsidR="003830E9" w:rsidRPr="00520D1B">
        <w:rPr>
          <w:rFonts w:cstheme="minorHAnsi"/>
        </w:rPr>
        <w:t>EUR</w:t>
      </w:r>
      <w:r w:rsidRPr="00520D1B">
        <w:rPr>
          <w:rFonts w:cstheme="minorHAnsi"/>
        </w:rPr>
        <w:t xml:space="preserve"> (9</w:t>
      </w:r>
      <w:r w:rsidR="00773E1A">
        <w:rPr>
          <w:rFonts w:cstheme="minorHAnsi"/>
        </w:rPr>
        <w:t>6,94</w:t>
      </w:r>
      <w:r w:rsidR="00520D1B" w:rsidRPr="00520D1B">
        <w:rPr>
          <w:rFonts w:cstheme="minorHAnsi"/>
        </w:rPr>
        <w:t xml:space="preserve"> </w:t>
      </w:r>
      <w:r w:rsidRPr="00520D1B">
        <w:rPr>
          <w:rFonts w:cstheme="minorHAnsi"/>
        </w:rPr>
        <w:t xml:space="preserve">%), dok </w:t>
      </w:r>
      <w:r w:rsidR="00314D98" w:rsidRPr="00520D1B">
        <w:rPr>
          <w:rFonts w:cstheme="minorHAnsi"/>
        </w:rPr>
        <w:t xml:space="preserve">su </w:t>
      </w:r>
      <w:r w:rsidRPr="00520D1B">
        <w:rPr>
          <w:rFonts w:cstheme="minorHAnsi"/>
        </w:rPr>
        <w:t xml:space="preserve"> potraživanja iznos</w:t>
      </w:r>
      <w:r w:rsidR="00314D98" w:rsidRPr="00520D1B">
        <w:rPr>
          <w:rFonts w:cstheme="minorHAnsi"/>
        </w:rPr>
        <w:t xml:space="preserve">ila </w:t>
      </w:r>
      <w:r w:rsidR="0064295C">
        <w:rPr>
          <w:rFonts w:cstheme="minorHAnsi"/>
        </w:rPr>
        <w:t xml:space="preserve">629,10 </w:t>
      </w:r>
      <w:r w:rsidR="00520D1B" w:rsidRPr="00520D1B">
        <w:rPr>
          <w:rFonts w:cstheme="minorHAnsi"/>
        </w:rPr>
        <w:t>EUR (0,0</w:t>
      </w:r>
      <w:r w:rsidR="00773E1A">
        <w:rPr>
          <w:rFonts w:cstheme="minorHAnsi"/>
        </w:rPr>
        <w:t>1</w:t>
      </w:r>
      <w:r w:rsidR="00520D1B" w:rsidRPr="00520D1B">
        <w:rPr>
          <w:rFonts w:cstheme="minorHAnsi"/>
        </w:rPr>
        <w:t>%)</w:t>
      </w:r>
      <w:r w:rsidRPr="00520D1B">
        <w:rPr>
          <w:rFonts w:cstheme="minorHAnsi"/>
        </w:rPr>
        <w:t xml:space="preserve">. </w:t>
      </w:r>
    </w:p>
    <w:p w14:paraId="1D16BAC2" w14:textId="549ECC44" w:rsidR="00063F8F" w:rsidRPr="00250807" w:rsidRDefault="00063F8F" w:rsidP="00E659DA">
      <w:pPr>
        <w:jc w:val="both"/>
        <w:rPr>
          <w:rFonts w:cstheme="minorHAnsi"/>
        </w:rPr>
      </w:pPr>
      <w:r w:rsidRPr="0018737A">
        <w:rPr>
          <w:rFonts w:cstheme="minorHAnsi"/>
        </w:rPr>
        <w:lastRenderedPageBreak/>
        <w:t>Dugotrajnu nematerijalnu imovinu čine koncesije, patenti, softver i ostala prava,</w:t>
      </w:r>
      <w:r w:rsidR="00D46C44">
        <w:rPr>
          <w:rFonts w:cstheme="minorHAnsi"/>
        </w:rPr>
        <w:t xml:space="preserve"> u iznosu od </w:t>
      </w:r>
      <w:r w:rsidR="00773E1A">
        <w:rPr>
          <w:rFonts w:cstheme="minorHAnsi"/>
        </w:rPr>
        <w:t>71.091,83</w:t>
      </w:r>
      <w:r w:rsidR="00D46C44">
        <w:rPr>
          <w:rFonts w:cstheme="minorHAnsi"/>
        </w:rPr>
        <w:t xml:space="preserve"> EUR</w:t>
      </w:r>
      <w:r w:rsidRPr="0018737A">
        <w:rPr>
          <w:rFonts w:cstheme="minorHAnsi"/>
        </w:rPr>
        <w:t xml:space="preserve"> dok dugotrajnu materijalnu imovinu čine zemljište sa</w:t>
      </w:r>
      <w:r w:rsidR="00D46C44">
        <w:rPr>
          <w:rFonts w:cstheme="minorHAnsi"/>
        </w:rPr>
        <w:t xml:space="preserve"> 391.532,28 EUR,</w:t>
      </w:r>
      <w:r w:rsidRPr="0018737A">
        <w:rPr>
          <w:rFonts w:cstheme="minorHAnsi"/>
        </w:rPr>
        <w:t xml:space="preserve"> građevinski objekti sa </w:t>
      </w:r>
      <w:r w:rsidR="00D46C44">
        <w:rPr>
          <w:rFonts w:cstheme="minorHAnsi"/>
        </w:rPr>
        <w:t>3</w:t>
      </w:r>
      <w:r w:rsidR="00773E1A">
        <w:rPr>
          <w:rFonts w:cstheme="minorHAnsi"/>
        </w:rPr>
        <w:t>09.073,59</w:t>
      </w:r>
      <w:r w:rsidR="00D46C44">
        <w:rPr>
          <w:rFonts w:cstheme="minorHAnsi"/>
        </w:rPr>
        <w:t xml:space="preserve"> EUR</w:t>
      </w:r>
      <w:r w:rsidRPr="0018737A">
        <w:rPr>
          <w:rFonts w:cstheme="minorHAnsi"/>
        </w:rPr>
        <w:t>, postrojenja i oprema sa</w:t>
      </w:r>
      <w:r w:rsidR="005B1E1C">
        <w:rPr>
          <w:rFonts w:cstheme="minorHAnsi"/>
        </w:rPr>
        <w:t xml:space="preserve"> </w:t>
      </w:r>
      <w:r w:rsidR="00773E1A">
        <w:rPr>
          <w:rFonts w:cstheme="minorHAnsi"/>
        </w:rPr>
        <w:t>172.786,58</w:t>
      </w:r>
      <w:r w:rsidR="00D46C44">
        <w:rPr>
          <w:rFonts w:cstheme="minorHAnsi"/>
        </w:rPr>
        <w:t xml:space="preserve"> EUR, </w:t>
      </w:r>
      <w:r w:rsidRPr="0018737A">
        <w:rPr>
          <w:rFonts w:cstheme="minorHAnsi"/>
        </w:rPr>
        <w:t>te alati, pogonski inventar i transportna imovina sa</w:t>
      </w:r>
      <w:r w:rsidR="00D46C44">
        <w:rPr>
          <w:rFonts w:cstheme="minorHAnsi"/>
        </w:rPr>
        <w:t xml:space="preserve"> 1.</w:t>
      </w:r>
      <w:r w:rsidR="00773E1A">
        <w:rPr>
          <w:rFonts w:cstheme="minorHAnsi"/>
        </w:rPr>
        <w:t>313.554,07</w:t>
      </w:r>
      <w:r w:rsidR="00D46C44">
        <w:rPr>
          <w:rFonts w:cstheme="minorHAnsi"/>
        </w:rPr>
        <w:t xml:space="preserve"> EUR</w:t>
      </w:r>
      <w:r w:rsidRPr="0018737A">
        <w:rPr>
          <w:rFonts w:cstheme="minorHAnsi"/>
        </w:rPr>
        <w:t>.</w:t>
      </w:r>
    </w:p>
    <w:p w14:paraId="0C075BED" w14:textId="6644C114" w:rsidR="00063F8F" w:rsidRPr="00250807" w:rsidRDefault="00063F8F" w:rsidP="00E659DA">
      <w:pPr>
        <w:jc w:val="both"/>
        <w:rPr>
          <w:rFonts w:cstheme="minorHAnsi"/>
        </w:rPr>
      </w:pPr>
      <w:r w:rsidRPr="00250807">
        <w:rPr>
          <w:rFonts w:cstheme="minorHAnsi"/>
        </w:rPr>
        <w:t>Kratkotrajnu imovinu</w:t>
      </w:r>
      <w:r w:rsidR="00520D1B" w:rsidRPr="00250807">
        <w:rPr>
          <w:rFonts w:cstheme="minorHAnsi"/>
        </w:rPr>
        <w:t xml:space="preserve"> </w:t>
      </w:r>
      <w:r w:rsidR="0021765C">
        <w:rPr>
          <w:rFonts w:cstheme="minorHAnsi"/>
        </w:rPr>
        <w:t>od</w:t>
      </w:r>
      <w:r w:rsidR="00520D1B" w:rsidRPr="00250807">
        <w:rPr>
          <w:rFonts w:cstheme="minorHAnsi"/>
        </w:rPr>
        <w:t xml:space="preserve"> </w:t>
      </w:r>
      <w:r w:rsidR="00773E1A">
        <w:rPr>
          <w:rFonts w:cstheme="minorHAnsi"/>
        </w:rPr>
        <w:t>2.033.573,54</w:t>
      </w:r>
      <w:r w:rsidR="00520D1B" w:rsidRPr="00250807">
        <w:rPr>
          <w:rFonts w:cstheme="minorHAnsi"/>
        </w:rPr>
        <w:t xml:space="preserve"> EUR</w:t>
      </w:r>
      <w:r w:rsidRPr="00250807">
        <w:rPr>
          <w:rFonts w:cstheme="minorHAnsi"/>
        </w:rPr>
        <w:t xml:space="preserve"> u najvećem dijelu čine potraživanja u iznosu od</w:t>
      </w:r>
      <w:r w:rsidR="005B1E1C">
        <w:rPr>
          <w:rFonts w:cstheme="minorHAnsi"/>
        </w:rPr>
        <w:t xml:space="preserve"> </w:t>
      </w:r>
      <w:r w:rsidR="00773E1A">
        <w:rPr>
          <w:rFonts w:cstheme="minorHAnsi"/>
        </w:rPr>
        <w:t>499.068,37</w:t>
      </w:r>
      <w:r w:rsidRPr="00250807">
        <w:rPr>
          <w:rFonts w:cstheme="minorHAnsi"/>
        </w:rPr>
        <w:t xml:space="preserve"> </w:t>
      </w:r>
      <w:r w:rsidR="003830E9" w:rsidRPr="00250807">
        <w:rPr>
          <w:rFonts w:cstheme="minorHAnsi"/>
        </w:rPr>
        <w:t>EUR</w:t>
      </w:r>
      <w:r w:rsidRPr="00250807">
        <w:rPr>
          <w:rFonts w:cstheme="minorHAnsi"/>
        </w:rPr>
        <w:t xml:space="preserve"> (</w:t>
      </w:r>
      <w:r w:rsidR="00773E1A">
        <w:rPr>
          <w:rFonts w:cstheme="minorHAnsi"/>
        </w:rPr>
        <w:t>24,54</w:t>
      </w:r>
      <w:r w:rsidRPr="00250807">
        <w:rPr>
          <w:rFonts w:cstheme="minorHAnsi"/>
        </w:rPr>
        <w:t>%)</w:t>
      </w:r>
      <w:r w:rsidR="00250807" w:rsidRPr="00250807">
        <w:rPr>
          <w:rFonts w:cstheme="minorHAnsi"/>
        </w:rPr>
        <w:t xml:space="preserve">, kratkotrajna financijska imovina iznosila je </w:t>
      </w:r>
      <w:r w:rsidR="00773E1A">
        <w:rPr>
          <w:rFonts w:cstheme="minorHAnsi"/>
        </w:rPr>
        <w:t>6</w:t>
      </w:r>
      <w:r w:rsidR="00107ACA">
        <w:rPr>
          <w:rFonts w:cstheme="minorHAnsi"/>
        </w:rPr>
        <w:t>1</w:t>
      </w:r>
      <w:r w:rsidR="00773E1A">
        <w:rPr>
          <w:rFonts w:cstheme="minorHAnsi"/>
        </w:rPr>
        <w:t>0.000,00</w:t>
      </w:r>
      <w:r w:rsidR="00250807" w:rsidRPr="00250807">
        <w:rPr>
          <w:rFonts w:cstheme="minorHAnsi"/>
        </w:rPr>
        <w:t xml:space="preserve"> EUR ( </w:t>
      </w:r>
      <w:r w:rsidR="00773E1A">
        <w:rPr>
          <w:rFonts w:cstheme="minorHAnsi"/>
        </w:rPr>
        <w:t>30,00</w:t>
      </w:r>
      <w:r w:rsidR="00250807" w:rsidRPr="00250807">
        <w:rPr>
          <w:rFonts w:cstheme="minorHAnsi"/>
        </w:rPr>
        <w:t xml:space="preserve">%) </w:t>
      </w:r>
      <w:r w:rsidR="00377AEA">
        <w:rPr>
          <w:rFonts w:cstheme="minorHAnsi"/>
        </w:rPr>
        <w:t>i</w:t>
      </w:r>
      <w:r w:rsidRPr="00250807">
        <w:rPr>
          <w:rFonts w:cstheme="minorHAnsi"/>
        </w:rPr>
        <w:t xml:space="preserve"> novac u banci i blagajni u iznosu od </w:t>
      </w:r>
      <w:r w:rsidR="00773E1A">
        <w:rPr>
          <w:rFonts w:cstheme="minorHAnsi"/>
        </w:rPr>
        <w:t>831.016,90</w:t>
      </w:r>
      <w:r w:rsidR="00517C50" w:rsidRPr="00250807">
        <w:rPr>
          <w:rFonts w:cstheme="minorHAnsi"/>
        </w:rPr>
        <w:t xml:space="preserve"> </w:t>
      </w:r>
      <w:r w:rsidRPr="00250807">
        <w:rPr>
          <w:rFonts w:cstheme="minorHAnsi"/>
        </w:rPr>
        <w:t xml:space="preserve"> </w:t>
      </w:r>
      <w:r w:rsidR="003830E9" w:rsidRPr="00250807">
        <w:rPr>
          <w:rFonts w:cstheme="minorHAnsi"/>
        </w:rPr>
        <w:t>EUR</w:t>
      </w:r>
      <w:r w:rsidRPr="00250807">
        <w:rPr>
          <w:rFonts w:cstheme="minorHAnsi"/>
        </w:rPr>
        <w:t xml:space="preserve"> (</w:t>
      </w:r>
      <w:r w:rsidR="00377AEA">
        <w:rPr>
          <w:rFonts w:cstheme="minorHAnsi"/>
        </w:rPr>
        <w:t>4</w:t>
      </w:r>
      <w:r w:rsidR="00773E1A">
        <w:rPr>
          <w:rFonts w:cstheme="minorHAnsi"/>
        </w:rPr>
        <w:t>0,86</w:t>
      </w:r>
      <w:r w:rsidR="00517C50" w:rsidRPr="00250807">
        <w:rPr>
          <w:rFonts w:cstheme="minorHAnsi"/>
        </w:rPr>
        <w:t xml:space="preserve"> </w:t>
      </w:r>
      <w:r w:rsidRPr="00250807">
        <w:rPr>
          <w:rFonts w:cstheme="minorHAnsi"/>
        </w:rPr>
        <w:t xml:space="preserve">%), dok na zalihe otpada iznos od </w:t>
      </w:r>
      <w:r w:rsidR="00DC7D28">
        <w:rPr>
          <w:rFonts w:cstheme="minorHAnsi"/>
        </w:rPr>
        <w:t>93.488,27</w:t>
      </w:r>
      <w:r w:rsidR="00377AEA">
        <w:rPr>
          <w:rFonts w:cstheme="minorHAnsi"/>
        </w:rPr>
        <w:t xml:space="preserve">  </w:t>
      </w:r>
      <w:r w:rsidRPr="00250807">
        <w:rPr>
          <w:rFonts w:cstheme="minorHAnsi"/>
        </w:rPr>
        <w:t xml:space="preserve"> </w:t>
      </w:r>
      <w:r w:rsidR="003830E9" w:rsidRPr="00250807">
        <w:rPr>
          <w:rFonts w:cstheme="minorHAnsi"/>
        </w:rPr>
        <w:t>EUR</w:t>
      </w:r>
      <w:r w:rsidRPr="00250807">
        <w:rPr>
          <w:rFonts w:cstheme="minorHAnsi"/>
        </w:rPr>
        <w:t xml:space="preserve"> (</w:t>
      </w:r>
      <w:r w:rsidR="00DC7D28">
        <w:rPr>
          <w:rFonts w:cstheme="minorHAnsi"/>
        </w:rPr>
        <w:t>4,60</w:t>
      </w:r>
      <w:r w:rsidRPr="00250807">
        <w:rPr>
          <w:rFonts w:cstheme="minorHAnsi"/>
        </w:rPr>
        <w:t xml:space="preserve">%). </w:t>
      </w:r>
    </w:p>
    <w:p w14:paraId="44C64809" w14:textId="00C7B2FE" w:rsidR="005B1E1C" w:rsidRDefault="00063F8F" w:rsidP="00E659DA">
      <w:pPr>
        <w:jc w:val="both"/>
        <w:rPr>
          <w:rFonts w:cstheme="minorHAnsi"/>
        </w:rPr>
      </w:pPr>
      <w:r w:rsidRPr="0037328B">
        <w:rPr>
          <w:rFonts w:cstheme="minorHAnsi"/>
        </w:rPr>
        <w:t>Kapital i rezerve u 202</w:t>
      </w:r>
      <w:r w:rsidR="00DC7D28">
        <w:rPr>
          <w:rFonts w:cstheme="minorHAnsi"/>
        </w:rPr>
        <w:t>5</w:t>
      </w:r>
      <w:r w:rsidRPr="0037328B">
        <w:rPr>
          <w:rFonts w:cstheme="minorHAnsi"/>
        </w:rPr>
        <w:t xml:space="preserve">. godini iznose </w:t>
      </w:r>
      <w:r w:rsidR="0021765C" w:rsidRPr="0037328B">
        <w:rPr>
          <w:rFonts w:cstheme="minorHAnsi"/>
        </w:rPr>
        <w:t>1.</w:t>
      </w:r>
      <w:r w:rsidR="00377AEA">
        <w:rPr>
          <w:rFonts w:cstheme="minorHAnsi"/>
        </w:rPr>
        <w:t>3</w:t>
      </w:r>
      <w:r w:rsidR="00DC7D28">
        <w:rPr>
          <w:rFonts w:cstheme="minorHAnsi"/>
        </w:rPr>
        <w:t>98.523,23</w:t>
      </w:r>
      <w:r w:rsidR="00250807"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>, temeljni kapital</w:t>
      </w:r>
      <w:r w:rsidR="00377AEA">
        <w:rPr>
          <w:rFonts w:cstheme="minorHAnsi"/>
        </w:rPr>
        <w:t xml:space="preserve"> 836.140,00</w:t>
      </w:r>
      <w:r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, </w:t>
      </w:r>
      <w:r w:rsidR="00775B3C" w:rsidRPr="0037328B">
        <w:rPr>
          <w:rFonts w:cstheme="minorHAnsi"/>
        </w:rPr>
        <w:t>a Društvo je imalo dobit poslovne godine u izn</w:t>
      </w:r>
      <w:r w:rsidR="007C1477" w:rsidRPr="0037328B">
        <w:rPr>
          <w:rFonts w:cstheme="minorHAnsi"/>
        </w:rPr>
        <w:t>o</w:t>
      </w:r>
      <w:r w:rsidR="00775B3C" w:rsidRPr="0037328B">
        <w:rPr>
          <w:rFonts w:cstheme="minorHAnsi"/>
        </w:rPr>
        <w:t xml:space="preserve">su od </w:t>
      </w:r>
      <w:r w:rsidR="0021765C" w:rsidRPr="0037328B">
        <w:rPr>
          <w:rFonts w:cstheme="minorHAnsi"/>
        </w:rPr>
        <w:t xml:space="preserve"> </w:t>
      </w:r>
      <w:r w:rsidR="00DC7D28">
        <w:rPr>
          <w:rFonts w:cstheme="minorHAnsi"/>
        </w:rPr>
        <w:t>73.764,93</w:t>
      </w:r>
      <w:r w:rsidR="00775B3C"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. </w:t>
      </w:r>
    </w:p>
    <w:p w14:paraId="34C9992E" w14:textId="6CEBF726" w:rsidR="00A90E24" w:rsidRDefault="00063F8F" w:rsidP="00E659DA">
      <w:pPr>
        <w:jc w:val="both"/>
        <w:rPr>
          <w:rFonts w:cstheme="minorHAnsi"/>
        </w:rPr>
      </w:pPr>
      <w:r w:rsidRPr="0037328B">
        <w:rPr>
          <w:rFonts w:cstheme="minorHAnsi"/>
        </w:rPr>
        <w:t xml:space="preserve">Dugoročne obveze iznose </w:t>
      </w:r>
      <w:r w:rsidR="0037328B" w:rsidRPr="0037328B">
        <w:rPr>
          <w:rFonts w:cstheme="minorHAnsi"/>
        </w:rPr>
        <w:t>1.</w:t>
      </w:r>
      <w:r w:rsidR="00DC7D28">
        <w:rPr>
          <w:rFonts w:cstheme="minorHAnsi"/>
        </w:rPr>
        <w:t>239.761,50</w:t>
      </w:r>
      <w:r w:rsidR="000F1941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, a kratkoročne obveze iznose </w:t>
      </w:r>
      <w:r w:rsidR="00DC7D28">
        <w:rPr>
          <w:rFonts w:cstheme="minorHAnsi"/>
        </w:rPr>
        <w:t>733.339,36</w:t>
      </w:r>
      <w:r w:rsidR="000F1941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.  </w:t>
      </w:r>
    </w:p>
    <w:p w14:paraId="5030AB12" w14:textId="77777777" w:rsidR="003E72C1" w:rsidRDefault="00063F8F" w:rsidP="00E659DA">
      <w:pPr>
        <w:jc w:val="both"/>
        <w:rPr>
          <w:rFonts w:cstheme="minorHAnsi"/>
          <w:b/>
          <w:bCs/>
        </w:rPr>
      </w:pPr>
      <w:r w:rsidRPr="0037328B">
        <w:rPr>
          <w:rFonts w:cstheme="minorHAnsi"/>
        </w:rPr>
        <w:t>Dugoročne obveze isključivo se odnose na obveze prema bankama i drugim financijskim institucijama, dok strukturu kratkoročnih obveza čine obveze prema bankama i financijskim institucijama sa</w:t>
      </w:r>
      <w:r w:rsidR="00DC7D28">
        <w:rPr>
          <w:rFonts w:cstheme="minorHAnsi"/>
        </w:rPr>
        <w:t xml:space="preserve"> 232.336,26</w:t>
      </w:r>
      <w:r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 (</w:t>
      </w:r>
      <w:r w:rsidR="00E173E0">
        <w:rPr>
          <w:rFonts w:cstheme="minorHAnsi"/>
        </w:rPr>
        <w:t xml:space="preserve">31,68 </w:t>
      </w:r>
      <w:r w:rsidRPr="0037328B">
        <w:rPr>
          <w:rFonts w:cstheme="minorHAnsi"/>
        </w:rPr>
        <w:t>%), zatim obveze prema dobavljačima sa</w:t>
      </w:r>
      <w:r w:rsidR="00223773">
        <w:rPr>
          <w:rFonts w:cstheme="minorHAnsi"/>
        </w:rPr>
        <w:t xml:space="preserve"> </w:t>
      </w:r>
      <w:r w:rsidR="00E173E0">
        <w:rPr>
          <w:rFonts w:cstheme="minorHAnsi"/>
        </w:rPr>
        <w:t>169.672,27</w:t>
      </w:r>
      <w:r w:rsidRPr="0037328B">
        <w:rPr>
          <w:rFonts w:cstheme="minorHAnsi"/>
        </w:rPr>
        <w:t xml:space="preserve"> </w:t>
      </w:r>
      <w:r w:rsidR="003830E9" w:rsidRPr="0037328B">
        <w:rPr>
          <w:rFonts w:cstheme="minorHAnsi"/>
        </w:rPr>
        <w:t>EUR</w:t>
      </w:r>
      <w:r w:rsidRPr="0037328B">
        <w:rPr>
          <w:rFonts w:cstheme="minorHAnsi"/>
        </w:rPr>
        <w:t xml:space="preserve"> (</w:t>
      </w:r>
      <w:r w:rsidR="00E173E0">
        <w:rPr>
          <w:rFonts w:cstheme="minorHAnsi"/>
        </w:rPr>
        <w:t>23,14</w:t>
      </w:r>
      <w:r w:rsidR="00223773">
        <w:rPr>
          <w:rFonts w:cstheme="minorHAnsi"/>
        </w:rPr>
        <w:t xml:space="preserve"> </w:t>
      </w:r>
      <w:r w:rsidRPr="0037328B">
        <w:rPr>
          <w:rFonts w:cstheme="minorHAnsi"/>
        </w:rPr>
        <w:t>%)</w:t>
      </w:r>
      <w:r w:rsidR="0037328B">
        <w:rPr>
          <w:rFonts w:cstheme="minorHAnsi"/>
        </w:rPr>
        <w:t xml:space="preserve">, obveze prema zaposlenicama </w:t>
      </w:r>
      <w:r w:rsidR="00223773">
        <w:rPr>
          <w:rFonts w:cstheme="minorHAnsi"/>
        </w:rPr>
        <w:t>1</w:t>
      </w:r>
      <w:r w:rsidR="00E173E0">
        <w:rPr>
          <w:rFonts w:cstheme="minorHAnsi"/>
        </w:rPr>
        <w:t>91.849,07</w:t>
      </w:r>
      <w:r w:rsidR="0037328B">
        <w:rPr>
          <w:rFonts w:cstheme="minorHAnsi"/>
        </w:rPr>
        <w:t xml:space="preserve"> EUR</w:t>
      </w:r>
      <w:r w:rsidR="0018737A">
        <w:rPr>
          <w:rFonts w:cstheme="minorHAnsi"/>
        </w:rPr>
        <w:t xml:space="preserve"> (</w:t>
      </w:r>
      <w:r w:rsidR="00E173E0">
        <w:rPr>
          <w:rFonts w:cstheme="minorHAnsi"/>
        </w:rPr>
        <w:t>26,17</w:t>
      </w:r>
      <w:r w:rsidR="0018737A">
        <w:rPr>
          <w:rFonts w:cstheme="minorHAnsi"/>
        </w:rPr>
        <w:t>%)</w:t>
      </w:r>
      <w:r w:rsidR="0037328B">
        <w:rPr>
          <w:rFonts w:cstheme="minorHAnsi"/>
        </w:rPr>
        <w:t xml:space="preserve">, </w:t>
      </w:r>
      <w:r w:rsidR="0018737A">
        <w:rPr>
          <w:rFonts w:cstheme="minorHAnsi"/>
        </w:rPr>
        <w:t>o</w:t>
      </w:r>
      <w:r w:rsidR="0037328B">
        <w:rPr>
          <w:rFonts w:cstheme="minorHAnsi"/>
        </w:rPr>
        <w:t xml:space="preserve">bveze za poreze i doprinose </w:t>
      </w:r>
      <w:r w:rsidR="00223773">
        <w:rPr>
          <w:rFonts w:cstheme="minorHAnsi"/>
        </w:rPr>
        <w:t>1</w:t>
      </w:r>
      <w:r w:rsidR="00E173E0">
        <w:rPr>
          <w:rFonts w:cstheme="minorHAnsi"/>
        </w:rPr>
        <w:t>15.451,33</w:t>
      </w:r>
      <w:r w:rsidR="00223773">
        <w:rPr>
          <w:rFonts w:cstheme="minorHAnsi"/>
        </w:rPr>
        <w:t xml:space="preserve"> </w:t>
      </w:r>
      <w:r w:rsidR="0037328B">
        <w:rPr>
          <w:rFonts w:cstheme="minorHAnsi"/>
        </w:rPr>
        <w:t>EUR (</w:t>
      </w:r>
      <w:r w:rsidR="00E173E0">
        <w:rPr>
          <w:rFonts w:cstheme="minorHAnsi"/>
        </w:rPr>
        <w:t>15,74</w:t>
      </w:r>
      <w:r w:rsidR="0018737A">
        <w:rPr>
          <w:rFonts w:cstheme="minorHAnsi"/>
        </w:rPr>
        <w:t>%)</w:t>
      </w:r>
      <w:r w:rsidR="00E173E0">
        <w:rPr>
          <w:rFonts w:cstheme="minorHAnsi"/>
        </w:rPr>
        <w:t>,</w:t>
      </w:r>
      <w:r w:rsidRPr="0037328B">
        <w:rPr>
          <w:rFonts w:cstheme="minorHAnsi"/>
        </w:rPr>
        <w:t xml:space="preserve"> te ostale kratkoročne obveze sa</w:t>
      </w:r>
      <w:r w:rsidR="0037328B">
        <w:rPr>
          <w:rFonts w:cstheme="minorHAnsi"/>
        </w:rPr>
        <w:t xml:space="preserve"> 15.644,49</w:t>
      </w:r>
      <w:r w:rsidRPr="0037328B">
        <w:rPr>
          <w:rFonts w:cstheme="minorHAnsi"/>
        </w:rPr>
        <w:t xml:space="preserve"> </w:t>
      </w:r>
      <w:r w:rsidR="0018737A">
        <w:rPr>
          <w:rFonts w:cstheme="minorHAnsi"/>
        </w:rPr>
        <w:t>EUR</w:t>
      </w:r>
      <w:r w:rsidRPr="0037328B">
        <w:rPr>
          <w:rFonts w:cstheme="minorHAnsi"/>
        </w:rPr>
        <w:t xml:space="preserve"> (</w:t>
      </w:r>
      <w:r w:rsidR="00E173E0">
        <w:rPr>
          <w:rFonts w:cstheme="minorHAnsi"/>
        </w:rPr>
        <w:t>2,13</w:t>
      </w:r>
      <w:r w:rsidRPr="0037328B">
        <w:rPr>
          <w:rFonts w:cstheme="minorHAnsi"/>
        </w:rPr>
        <w:t>%)</w:t>
      </w:r>
      <w:r w:rsidR="00E173E0">
        <w:rPr>
          <w:rFonts w:cstheme="minorHAnsi"/>
        </w:rPr>
        <w:t xml:space="preserve">, obveze za predujmove 8.385,94 EUR </w:t>
      </w:r>
      <w:r w:rsidR="00E173E0" w:rsidRPr="003E72C1">
        <w:rPr>
          <w:rFonts w:cstheme="minorHAnsi"/>
          <w:b/>
          <w:bCs/>
        </w:rPr>
        <w:t xml:space="preserve">(1,14%) </w:t>
      </w:r>
      <w:r w:rsidRPr="003E72C1">
        <w:rPr>
          <w:rFonts w:cstheme="minorHAnsi"/>
          <w:b/>
          <w:bCs/>
        </w:rPr>
        <w:t>.</w:t>
      </w:r>
    </w:p>
    <w:p w14:paraId="2136DCE7" w14:textId="37E7FB5B" w:rsidR="00DA5EE4" w:rsidRPr="00A35CE6" w:rsidRDefault="003E72C1" w:rsidP="00317692">
      <w:pPr>
        <w:spacing w:after="0"/>
        <w:jc w:val="both"/>
        <w:rPr>
          <w:rFonts w:cstheme="minorHAnsi"/>
        </w:rPr>
      </w:pPr>
      <w:r w:rsidRPr="00A35CE6">
        <w:rPr>
          <w:rFonts w:cstheme="minorHAnsi"/>
        </w:rPr>
        <w:t xml:space="preserve">Zbog smanjivanja kreditne opterećenosti postojećih obveza </w:t>
      </w:r>
      <w:r w:rsidR="002E5405" w:rsidRPr="00A35CE6">
        <w:rPr>
          <w:rFonts w:cstheme="minorHAnsi"/>
        </w:rPr>
        <w:t xml:space="preserve">gdje su se </w:t>
      </w:r>
      <w:r w:rsidRPr="00A35CE6">
        <w:rPr>
          <w:rFonts w:cstheme="minorHAnsi"/>
        </w:rPr>
        <w:t>kamatn</w:t>
      </w:r>
      <w:r w:rsidR="002E5405" w:rsidRPr="00A35CE6">
        <w:rPr>
          <w:rFonts w:cstheme="minorHAnsi"/>
        </w:rPr>
        <w:t>e</w:t>
      </w:r>
      <w:r w:rsidRPr="00A35CE6">
        <w:rPr>
          <w:rFonts w:cstheme="minorHAnsi"/>
        </w:rPr>
        <w:t xml:space="preserve"> stop</w:t>
      </w:r>
      <w:r w:rsidR="002E5405" w:rsidRPr="00A35CE6">
        <w:rPr>
          <w:rFonts w:cstheme="minorHAnsi"/>
        </w:rPr>
        <w:t>e kretale u</w:t>
      </w:r>
      <w:r w:rsidRPr="00A35CE6">
        <w:rPr>
          <w:rFonts w:cstheme="minorHAnsi"/>
        </w:rPr>
        <w:t xml:space="preserve"> izn</w:t>
      </w:r>
      <w:r w:rsidR="00317692" w:rsidRPr="00A35CE6">
        <w:rPr>
          <w:rFonts w:cstheme="minorHAnsi"/>
        </w:rPr>
        <w:t>osu</w:t>
      </w:r>
      <w:r w:rsidRPr="00A35CE6">
        <w:rPr>
          <w:rFonts w:cstheme="minorHAnsi"/>
        </w:rPr>
        <w:t xml:space="preserve"> od 4,74 % do 6,26 %, Trogir holding</w:t>
      </w:r>
      <w:r w:rsidR="00734B18" w:rsidRPr="00A35CE6">
        <w:rPr>
          <w:rFonts w:cstheme="minorHAnsi"/>
        </w:rPr>
        <w:t xml:space="preserve"> </w:t>
      </w:r>
      <w:r w:rsidRPr="00A35CE6">
        <w:rPr>
          <w:rFonts w:cstheme="minorHAnsi"/>
        </w:rPr>
        <w:t xml:space="preserve">je </w:t>
      </w:r>
      <w:r w:rsidR="00317692" w:rsidRPr="00A35CE6">
        <w:rPr>
          <w:rFonts w:cstheme="minorHAnsi"/>
        </w:rPr>
        <w:t xml:space="preserve"> u trećem kvartalu 2025. godine </w:t>
      </w:r>
      <w:r w:rsidRPr="00A35CE6">
        <w:rPr>
          <w:rFonts w:cstheme="minorHAnsi"/>
        </w:rPr>
        <w:t>dugoročn</w:t>
      </w:r>
      <w:r w:rsidR="002E5405" w:rsidRPr="00A35CE6">
        <w:rPr>
          <w:rFonts w:cstheme="minorHAnsi"/>
        </w:rPr>
        <w:t>im</w:t>
      </w:r>
      <w:r w:rsidR="00634168" w:rsidRPr="00A35CE6">
        <w:rPr>
          <w:rFonts w:cstheme="minorHAnsi"/>
        </w:rPr>
        <w:t xml:space="preserve"> kreditom</w:t>
      </w:r>
      <w:r w:rsidRPr="00A35CE6">
        <w:rPr>
          <w:rFonts w:cstheme="minorHAnsi"/>
        </w:rPr>
        <w:t xml:space="preserve"> sa manjom kamatnom stopom  od 3,1 % fiksno godišnje i na duži rok otplate</w:t>
      </w:r>
      <w:r w:rsidR="00634168" w:rsidRPr="00A35CE6">
        <w:rPr>
          <w:rFonts w:cstheme="minorHAnsi"/>
        </w:rPr>
        <w:t xml:space="preserve"> otplatio dio postojećih dugoročnih obveza</w:t>
      </w:r>
      <w:r w:rsidRPr="00A35CE6">
        <w:rPr>
          <w:rFonts w:cstheme="minorHAnsi"/>
        </w:rPr>
        <w:t xml:space="preserve">,  što </w:t>
      </w:r>
      <w:r w:rsidR="00317692" w:rsidRPr="00A35CE6">
        <w:rPr>
          <w:rFonts w:cstheme="minorHAnsi"/>
        </w:rPr>
        <w:t xml:space="preserve">je rezultiralo </w:t>
      </w:r>
      <w:r w:rsidRPr="00A35CE6">
        <w:rPr>
          <w:rFonts w:cstheme="minorHAnsi"/>
        </w:rPr>
        <w:t xml:space="preserve"> smanjivanje</w:t>
      </w:r>
      <w:r w:rsidR="00317692" w:rsidRPr="00A35CE6">
        <w:rPr>
          <w:rFonts w:cstheme="minorHAnsi"/>
        </w:rPr>
        <w:t>m</w:t>
      </w:r>
      <w:r w:rsidRPr="00A35CE6">
        <w:rPr>
          <w:rFonts w:cstheme="minorHAnsi"/>
        </w:rPr>
        <w:t xml:space="preserve"> tekućih  obaveza sa prosječnih 19.000,00 EUR na 8.000,00 EUR mjesečno </w:t>
      </w:r>
      <w:r w:rsidR="00317692" w:rsidRPr="00A35CE6">
        <w:rPr>
          <w:rFonts w:cstheme="minorHAnsi"/>
        </w:rPr>
        <w:t>.</w:t>
      </w:r>
    </w:p>
    <w:p w14:paraId="2A5C2B2E" w14:textId="0E172757" w:rsidR="00317692" w:rsidRPr="00A35CE6" w:rsidRDefault="00317692" w:rsidP="00E659DA">
      <w:pPr>
        <w:jc w:val="both"/>
        <w:rPr>
          <w:rFonts w:cstheme="minorHAnsi"/>
        </w:rPr>
      </w:pPr>
      <w:r w:rsidRPr="00A35CE6">
        <w:rPr>
          <w:rFonts w:cstheme="minorHAnsi"/>
        </w:rPr>
        <w:t xml:space="preserve">Ugovoren je kredit za </w:t>
      </w:r>
      <w:r w:rsidR="00734B18" w:rsidRPr="00A35CE6">
        <w:rPr>
          <w:rFonts w:cstheme="minorHAnsi"/>
        </w:rPr>
        <w:t>refinanciranje</w:t>
      </w:r>
      <w:r w:rsidRPr="00A35CE6">
        <w:rPr>
          <w:rFonts w:cstheme="minorHAnsi"/>
        </w:rPr>
        <w:t xml:space="preserve"> postojećih fina</w:t>
      </w:r>
      <w:r w:rsidR="000D027E" w:rsidRPr="00A35CE6">
        <w:rPr>
          <w:rFonts w:cstheme="minorHAnsi"/>
        </w:rPr>
        <w:t>n</w:t>
      </w:r>
      <w:r w:rsidRPr="00A35CE6">
        <w:rPr>
          <w:rFonts w:cstheme="minorHAnsi"/>
        </w:rPr>
        <w:t>cijskih obveza na iznos od 835.000,00 EUR, s rokom 10 godina ,</w:t>
      </w:r>
      <w:r w:rsidR="00734B18" w:rsidRPr="00A35CE6">
        <w:rPr>
          <w:rFonts w:cstheme="minorHAnsi"/>
        </w:rPr>
        <w:t xml:space="preserve"> te</w:t>
      </w:r>
      <w:r w:rsidRPr="00A35CE6">
        <w:rPr>
          <w:rFonts w:cstheme="minorHAnsi"/>
        </w:rPr>
        <w:t xml:space="preserve"> s rokom  korištenja kredita 12 mjeseci uz  kamatnu  stopu od 3,1 % godišnje, fiksno.</w:t>
      </w:r>
    </w:p>
    <w:p w14:paraId="38567665" w14:textId="1D202A6E" w:rsidR="004937FD" w:rsidRPr="00A35CE6" w:rsidRDefault="00317692" w:rsidP="00A35CE6">
      <w:pPr>
        <w:spacing w:after="0"/>
        <w:jc w:val="both"/>
        <w:rPr>
          <w:rFonts w:cstheme="minorHAnsi"/>
        </w:rPr>
      </w:pPr>
      <w:r w:rsidRPr="00A35CE6">
        <w:rPr>
          <w:rFonts w:cstheme="minorHAnsi"/>
        </w:rPr>
        <w:t>Trogir holding je krajem 2024. godine naručio izradu idejnog i glavnog projekta  rekonstrukcije zgrade  u Planom, a početkom  mjeseca listopada 2025. godine zaprimljene su i potvrde glavnog projekta</w:t>
      </w:r>
      <w:r w:rsidR="004937FD" w:rsidRPr="00A35CE6">
        <w:rPr>
          <w:rFonts w:cstheme="minorHAnsi"/>
        </w:rPr>
        <w:t>,</w:t>
      </w:r>
      <w:r w:rsidR="000D027E" w:rsidRPr="00A35CE6">
        <w:rPr>
          <w:rFonts w:cstheme="minorHAnsi"/>
        </w:rPr>
        <w:t xml:space="preserve"> </w:t>
      </w:r>
      <w:r w:rsidR="004937FD" w:rsidRPr="00A35CE6">
        <w:rPr>
          <w:rFonts w:cstheme="minorHAnsi"/>
        </w:rPr>
        <w:t xml:space="preserve"> s namjerom  </w:t>
      </w:r>
      <w:r w:rsidR="00734B18" w:rsidRPr="00A35CE6">
        <w:rPr>
          <w:rFonts w:cstheme="minorHAnsi"/>
        </w:rPr>
        <w:t>preseljenja</w:t>
      </w:r>
      <w:r w:rsidR="004937FD" w:rsidRPr="00A35CE6">
        <w:rPr>
          <w:rFonts w:cstheme="minorHAnsi"/>
        </w:rPr>
        <w:t xml:space="preserve"> iz unajmljenih uredskih prostora u vlastite</w:t>
      </w:r>
      <w:r w:rsidR="00334C50" w:rsidRPr="00A35CE6">
        <w:rPr>
          <w:rFonts w:cstheme="minorHAnsi"/>
        </w:rPr>
        <w:t>, početkom 2027. godine.</w:t>
      </w:r>
      <w:r w:rsidRPr="00A35CE6">
        <w:rPr>
          <w:rFonts w:cstheme="minorHAnsi"/>
        </w:rPr>
        <w:t xml:space="preserve"> </w:t>
      </w:r>
    </w:p>
    <w:p w14:paraId="1CBFD37A" w14:textId="515EDA41" w:rsidR="00317692" w:rsidRDefault="00317692" w:rsidP="00A35CE6">
      <w:pPr>
        <w:jc w:val="both"/>
        <w:rPr>
          <w:rFonts w:cstheme="minorHAnsi"/>
        </w:rPr>
      </w:pPr>
      <w:r w:rsidRPr="00A35CE6">
        <w:rPr>
          <w:rFonts w:cstheme="minorHAnsi"/>
        </w:rPr>
        <w:t>Nakon toga objavljen je otvoreni postupak</w:t>
      </w:r>
      <w:r w:rsidR="004937FD" w:rsidRPr="00A35CE6">
        <w:rPr>
          <w:rFonts w:cstheme="minorHAnsi"/>
        </w:rPr>
        <w:t xml:space="preserve"> javne nabave </w:t>
      </w:r>
      <w:r w:rsidRPr="00A35CE6">
        <w:rPr>
          <w:rFonts w:cstheme="minorHAnsi"/>
        </w:rPr>
        <w:t xml:space="preserve"> za radove rekonstrukcije zgrade u Planom</w:t>
      </w:r>
      <w:r w:rsidR="004937FD" w:rsidRPr="00A35CE6">
        <w:rPr>
          <w:rFonts w:cstheme="minorHAnsi"/>
        </w:rPr>
        <w:t xml:space="preserve"> procijenjene </w:t>
      </w:r>
      <w:r w:rsidR="00734B18" w:rsidRPr="00A35CE6">
        <w:rPr>
          <w:rFonts w:cstheme="minorHAnsi"/>
        </w:rPr>
        <w:t>vrijednosti</w:t>
      </w:r>
      <w:r w:rsidR="004937FD" w:rsidRPr="00A35CE6">
        <w:rPr>
          <w:rFonts w:cstheme="minorHAnsi"/>
        </w:rPr>
        <w:t xml:space="preserve"> 1.100.000,00 eura , a  krajem 2025. godine odabran je  najpovoljniji ponuditelj koji je početkom 2026. godine i započeo sa izvođenjem radova na rekonstrukciji zgrade. U tu svrhu je zatražen dugoročni kredit za uređenje poslovnog prostora na iznos 1.100.000,00 EUR, s rokom od 10 godina uz uključenu 1 godinu počeka s rokom  korištenja kredita 12 mjeseci ,te  kamatnom stopom od 3,1  % godišnje, fiksno.  Način korištenja je plaćanje dobavljača i izvođača radova.</w:t>
      </w:r>
    </w:p>
    <w:p w14:paraId="5CA6DEA1" w14:textId="77777777" w:rsidR="00A35CE6" w:rsidRDefault="00A35CE6" w:rsidP="00A35CE6">
      <w:pPr>
        <w:jc w:val="both"/>
        <w:rPr>
          <w:rFonts w:cstheme="minorHAnsi"/>
        </w:rPr>
      </w:pPr>
    </w:p>
    <w:p w14:paraId="0C48B1BF" w14:textId="77777777" w:rsidR="00A35CE6" w:rsidRDefault="00A35CE6" w:rsidP="00A35CE6">
      <w:pPr>
        <w:jc w:val="both"/>
        <w:rPr>
          <w:rFonts w:cstheme="minorHAnsi"/>
        </w:rPr>
      </w:pPr>
    </w:p>
    <w:p w14:paraId="78C0E29A" w14:textId="77777777" w:rsidR="00A35CE6" w:rsidRDefault="00A35CE6" w:rsidP="00A35CE6">
      <w:pPr>
        <w:jc w:val="both"/>
        <w:rPr>
          <w:rFonts w:cstheme="minorHAnsi"/>
        </w:rPr>
      </w:pPr>
    </w:p>
    <w:p w14:paraId="265D1A62" w14:textId="77777777" w:rsidR="00A35CE6" w:rsidRPr="00A35CE6" w:rsidRDefault="00A35CE6" w:rsidP="00A35CE6">
      <w:pPr>
        <w:jc w:val="both"/>
        <w:rPr>
          <w:rFonts w:cstheme="minorHAnsi"/>
        </w:rPr>
      </w:pPr>
    </w:p>
    <w:p w14:paraId="123296AB" w14:textId="77777777" w:rsidR="00334C50" w:rsidRDefault="00334C50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</w:p>
    <w:p w14:paraId="032F7141" w14:textId="1C2C004B" w:rsidR="00063F8F" w:rsidRPr="00E659DA" w:rsidRDefault="00334C50" w:rsidP="00E659DA">
      <w:pP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R</w:t>
      </w:r>
      <w:r w:rsidR="00063F8F" w:rsidRPr="00E659DA">
        <w:rPr>
          <w:rFonts w:ascii="Arial" w:hAnsi="Arial" w:cs="Arial"/>
          <w:b/>
          <w:bCs/>
          <w:sz w:val="24"/>
          <w:szCs w:val="24"/>
        </w:rPr>
        <w:t>AČUN DOBITI I GUBITKA DRUŠTVA TROGIR HOLDING d.o.o. za 202</w:t>
      </w:r>
      <w:r w:rsidR="005A21A5">
        <w:rPr>
          <w:rFonts w:ascii="Arial" w:hAnsi="Arial" w:cs="Arial"/>
          <w:b/>
          <w:bCs/>
          <w:sz w:val="24"/>
          <w:szCs w:val="24"/>
        </w:rPr>
        <w:t>4</w:t>
      </w:r>
      <w:r w:rsidR="00063F8F" w:rsidRPr="00E659DA">
        <w:rPr>
          <w:rFonts w:ascii="Arial" w:hAnsi="Arial" w:cs="Arial"/>
          <w:b/>
          <w:bCs/>
          <w:sz w:val="24"/>
          <w:szCs w:val="24"/>
        </w:rPr>
        <w:t>. i 202</w:t>
      </w:r>
      <w:r w:rsidR="005A21A5">
        <w:rPr>
          <w:rFonts w:ascii="Arial" w:hAnsi="Arial" w:cs="Arial"/>
          <w:b/>
          <w:bCs/>
          <w:sz w:val="24"/>
          <w:szCs w:val="24"/>
        </w:rPr>
        <w:t>5</w:t>
      </w:r>
      <w:r w:rsidR="00063F8F" w:rsidRPr="00E659DA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4E187FF6" w14:textId="18CA87D3" w:rsidR="00063F8F" w:rsidRDefault="00063F8F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  <w:r w:rsidRPr="00E659DA">
        <w:rPr>
          <w:rFonts w:ascii="Arial" w:hAnsi="Arial" w:cs="Arial"/>
          <w:i/>
          <w:iCs/>
          <w:sz w:val="18"/>
          <w:szCs w:val="18"/>
        </w:rPr>
        <w:t xml:space="preserve">Tablica </w:t>
      </w:r>
      <w:r w:rsidR="004E001D" w:rsidRPr="00E659DA">
        <w:rPr>
          <w:rFonts w:ascii="Arial" w:hAnsi="Arial" w:cs="Arial"/>
          <w:i/>
          <w:iCs/>
          <w:sz w:val="18"/>
          <w:szCs w:val="18"/>
        </w:rPr>
        <w:t>2.</w:t>
      </w:r>
      <w:r w:rsidRPr="00E659DA">
        <w:rPr>
          <w:rFonts w:ascii="Arial" w:hAnsi="Arial" w:cs="Arial"/>
          <w:i/>
          <w:iCs/>
          <w:sz w:val="18"/>
          <w:szCs w:val="18"/>
        </w:rPr>
        <w:t>Račun dobiti i gubitka Društva za 202</w:t>
      </w:r>
      <w:r w:rsidR="005A21A5">
        <w:rPr>
          <w:rFonts w:ascii="Arial" w:hAnsi="Arial" w:cs="Arial"/>
          <w:i/>
          <w:iCs/>
          <w:sz w:val="18"/>
          <w:szCs w:val="18"/>
        </w:rPr>
        <w:t>4</w:t>
      </w:r>
      <w:r w:rsidR="0032206F">
        <w:rPr>
          <w:rFonts w:ascii="Arial" w:hAnsi="Arial" w:cs="Arial"/>
          <w:i/>
          <w:iCs/>
          <w:sz w:val="18"/>
          <w:szCs w:val="18"/>
        </w:rPr>
        <w:t>.</w:t>
      </w:r>
      <w:r w:rsidRPr="00E659DA">
        <w:rPr>
          <w:rFonts w:ascii="Arial" w:hAnsi="Arial" w:cs="Arial"/>
          <w:i/>
          <w:iCs/>
          <w:sz w:val="18"/>
          <w:szCs w:val="18"/>
        </w:rPr>
        <w:t xml:space="preserve"> i 20</w:t>
      </w:r>
      <w:r w:rsidR="0032206F">
        <w:rPr>
          <w:rFonts w:ascii="Arial" w:hAnsi="Arial" w:cs="Arial"/>
          <w:i/>
          <w:iCs/>
          <w:sz w:val="18"/>
          <w:szCs w:val="18"/>
        </w:rPr>
        <w:t>2</w:t>
      </w:r>
      <w:r w:rsidR="005A21A5">
        <w:rPr>
          <w:rFonts w:ascii="Arial" w:hAnsi="Arial" w:cs="Arial"/>
          <w:i/>
          <w:iCs/>
          <w:sz w:val="18"/>
          <w:szCs w:val="18"/>
        </w:rPr>
        <w:t>5</w:t>
      </w:r>
      <w:r w:rsidRPr="00E659DA">
        <w:rPr>
          <w:rFonts w:ascii="Arial" w:hAnsi="Arial" w:cs="Arial"/>
          <w:i/>
          <w:iCs/>
          <w:sz w:val="18"/>
          <w:szCs w:val="18"/>
        </w:rPr>
        <w:t>.</w:t>
      </w:r>
    </w:p>
    <w:tbl>
      <w:tblPr>
        <w:tblW w:w="8860" w:type="dxa"/>
        <w:tblLook w:val="04A0" w:firstRow="1" w:lastRow="0" w:firstColumn="1" w:lastColumn="0" w:noHBand="0" w:noVBand="1"/>
      </w:tblPr>
      <w:tblGrid>
        <w:gridCol w:w="6514"/>
        <w:gridCol w:w="1173"/>
        <w:gridCol w:w="1173"/>
      </w:tblGrid>
      <w:tr w:rsidR="00A90FDC" w:rsidRPr="00A90FDC" w14:paraId="6FD6425E" w14:textId="77777777" w:rsidTr="00A90FDC">
        <w:trPr>
          <w:trHeight w:val="495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8" w:space="0" w:color="C0C0C0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085F62BC" w14:textId="77777777" w:rsidR="00A90FDC" w:rsidRPr="00A90FDC" w:rsidRDefault="00A90FDC" w:rsidP="00A90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Naziv pozicije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8" w:space="0" w:color="C0C0C0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4E5B7FEB" w14:textId="32F2F656" w:rsidR="00A90FDC" w:rsidRPr="00A90FDC" w:rsidRDefault="00A90FDC" w:rsidP="00A90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2024.g.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C0C0C0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27472800" w14:textId="0B96AFB5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2025.g.</w:t>
            </w:r>
          </w:p>
        </w:tc>
      </w:tr>
      <w:tr w:rsidR="00A90FDC" w:rsidRPr="00A90FDC" w14:paraId="7AC32D06" w14:textId="77777777" w:rsidTr="00A90FDC">
        <w:trPr>
          <w:trHeight w:val="240"/>
        </w:trPr>
        <w:tc>
          <w:tcPr>
            <w:tcW w:w="6740" w:type="dxa"/>
            <w:tcBorders>
              <w:top w:val="single" w:sz="8" w:space="0" w:color="C0C0C0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09BCFD19" w14:textId="77777777" w:rsidR="00A90FDC" w:rsidRPr="00A90FDC" w:rsidRDefault="00A90FDC" w:rsidP="00A90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FFFFFF"/>
            </w:tcBorders>
            <w:shd w:val="clear" w:color="000000" w:fill="4D93D9"/>
            <w:vAlign w:val="center"/>
            <w:hideMark/>
          </w:tcPr>
          <w:p w14:paraId="32465FC1" w14:textId="599ABAB3" w:rsidR="00A90FDC" w:rsidRPr="00A90FDC" w:rsidRDefault="00A90FDC" w:rsidP="00A90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4D93D9"/>
            <w:vAlign w:val="center"/>
            <w:hideMark/>
          </w:tcPr>
          <w:p w14:paraId="50D44761" w14:textId="4FD6B45A" w:rsidR="00A90FDC" w:rsidRPr="00A90FDC" w:rsidRDefault="00A90FDC" w:rsidP="00A90FD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</w:tr>
      <w:tr w:rsidR="00A90FDC" w:rsidRPr="00A90FDC" w14:paraId="30EB31DC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2CA348C0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I. POSLOVNI PRIHODI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129 do 133)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F2AB41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5.714.419,52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44C5F26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6.505.725,54</w:t>
            </w:r>
          </w:p>
        </w:tc>
      </w:tr>
      <w:tr w:rsidR="00A90FDC" w:rsidRPr="00A90FDC" w14:paraId="70D75E08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9E4A4E8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1. Prihodi od prodaje (izvan grupe)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39725E8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5.352.122,66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8961604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6.097.623,84</w:t>
            </w:r>
          </w:p>
        </w:tc>
      </w:tr>
      <w:tr w:rsidR="00A90FDC" w:rsidRPr="00A90FDC" w14:paraId="0C7B2DFE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13F5D28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2. Ostali poslovni prihodi (izvan grupe)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6E591EF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362.296,86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01C65D2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408.101,70</w:t>
            </w:r>
          </w:p>
        </w:tc>
      </w:tr>
      <w:tr w:rsidR="00A90FDC" w:rsidRPr="00A90FDC" w14:paraId="2E576AA6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CA010C2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II. POSLOVNI RASHODI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135+136+140+144 do 146+149+156)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3AFD81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5.604.600,32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C02B14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6.372.694,60</w:t>
            </w:r>
          </w:p>
        </w:tc>
      </w:tr>
      <w:tr w:rsidR="00A90FDC" w:rsidRPr="00A90FDC" w14:paraId="72F23B45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AA34030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1. Promjene vrijednosti zaliha proizvodnje u tijeku i gotovih proizvoda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3E26222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EDB6D0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42910B96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1D8B9FB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2. Materijalni troškovi (AOP 137 do 139)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263AC07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1.544.801,38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4CB33D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1.892.637,82</w:t>
            </w:r>
          </w:p>
        </w:tc>
      </w:tr>
      <w:tr w:rsidR="00A90FDC" w:rsidRPr="00A90FDC" w14:paraId="7EF5E314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1765EB8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a) Troškovi sirovina i materijala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51CA1E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528.722,58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67B9AF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465.084,97</w:t>
            </w:r>
          </w:p>
        </w:tc>
      </w:tr>
      <w:tr w:rsidR="00A90FDC" w:rsidRPr="00A90FDC" w14:paraId="53715494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A156A2E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b) Troškovi prodane robe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297408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29.019,34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F9432E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31.066,01</w:t>
            </w:r>
          </w:p>
        </w:tc>
      </w:tr>
      <w:tr w:rsidR="00A90FDC" w:rsidRPr="00A90FDC" w14:paraId="164BE605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DC6A65B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c) Ostali vanjski troškovi 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8E8BCD1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987.059,46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3A0438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1.396.486,84</w:t>
            </w:r>
          </w:p>
        </w:tc>
      </w:tr>
      <w:tr w:rsidR="00A90FDC" w:rsidRPr="00A90FDC" w14:paraId="7DAD7B89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8C3FBF8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3. Troškovi osoblja (AOP 141 do 143)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1A6551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2.507.016,65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51B9199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2.848.660,09</w:t>
            </w:r>
          </w:p>
        </w:tc>
      </w:tr>
      <w:tr w:rsidR="00A90FDC" w:rsidRPr="00A90FDC" w14:paraId="4C3E24D1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36938A0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a) Neto plaće i nadnice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6ADFD5B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1.657.046,52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BDD84D9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1.852.122,86</w:t>
            </w:r>
          </w:p>
        </w:tc>
      </w:tr>
      <w:tr w:rsidR="00A90FDC" w:rsidRPr="00A90FDC" w14:paraId="6576234B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717314F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b) Troškovi poreza i doprinosa iz plaća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FCB4CD6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494.575,81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54F7CDE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593.068,37</w:t>
            </w:r>
          </w:p>
        </w:tc>
      </w:tr>
      <w:tr w:rsidR="00A90FDC" w:rsidRPr="00A90FDC" w14:paraId="4AB494B4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034DB80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 c) Doprinosi na plaće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6D57C8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355.394,32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716A494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403.468,86</w:t>
            </w:r>
          </w:p>
        </w:tc>
      </w:tr>
      <w:tr w:rsidR="00A90FDC" w:rsidRPr="00A90FDC" w14:paraId="5D64964B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CB98ADF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4. Amortizacija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5113972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469.069,58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0D5993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476.489,28</w:t>
            </w:r>
          </w:p>
        </w:tc>
      </w:tr>
      <w:tr w:rsidR="00A90FDC" w:rsidRPr="00A90FDC" w14:paraId="5A3D35CE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6E6B2FA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5. Ostali troškovi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B6D2B11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745.964,63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619E398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786.909,99</w:t>
            </w:r>
          </w:p>
        </w:tc>
      </w:tr>
      <w:tr w:rsidR="00A90FDC" w:rsidRPr="00A90FDC" w14:paraId="19B6B92E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945F5C7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6. Vrijednosna usklađenja (AOP 147+148)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BF2BA3F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80.812,11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9DFCC8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141.837,61</w:t>
            </w:r>
          </w:p>
        </w:tc>
      </w:tr>
      <w:tr w:rsidR="00A90FDC" w:rsidRPr="00A90FDC" w14:paraId="487011E4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1EAD4AF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a) dugotrajne imovine osim 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8EDEF2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AFD74A0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68453605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E6B23A9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b) kratkotrajne imovine osim 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F43B6F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80.812,11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3CF719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141.837,61</w:t>
            </w:r>
          </w:p>
        </w:tc>
      </w:tr>
      <w:tr w:rsidR="00A90FDC" w:rsidRPr="00A90FDC" w14:paraId="011BB4D1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236564D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7. Rezerviranja (AOP 150 do 155)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999A4CF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196.400,50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654750F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215.395,12</w:t>
            </w:r>
          </w:p>
        </w:tc>
      </w:tr>
      <w:tr w:rsidR="00A90FDC" w:rsidRPr="00A90FDC" w14:paraId="2D5417E3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EF46CC7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a) Rezerviranja za mirovine, otpremnine i slične obveze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1FDC046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184.124,78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EC60254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172.261,35</w:t>
            </w:r>
          </w:p>
        </w:tc>
      </w:tr>
      <w:tr w:rsidR="00A90FDC" w:rsidRPr="00A90FDC" w14:paraId="1E161F80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E25269D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i/>
                <w:iCs/>
                <w:color w:val="000000"/>
                <w:sz w:val="18"/>
                <w:szCs w:val="18"/>
                <w:lang w:eastAsia="hr-HR"/>
              </w:rPr>
              <w:t xml:space="preserve">       b) Rezerviranja za započete sudske sporove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2470746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12.275,72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9EEED6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43.133,77</w:t>
            </w:r>
          </w:p>
        </w:tc>
      </w:tr>
      <w:tr w:rsidR="00A90FDC" w:rsidRPr="00A90FDC" w14:paraId="39957ECE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1C322E1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8. Ostali poslovni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61DE01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60.535,47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32B923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10.764,69</w:t>
            </w:r>
          </w:p>
        </w:tc>
      </w:tr>
      <w:tr w:rsidR="00A90FDC" w:rsidRPr="00A90FDC" w14:paraId="57156E80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72E8679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III. FINANCIJSKI PRIHODI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158 do 167)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EE98E13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7.842,32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0FC38A2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17.066,61</w:t>
            </w:r>
          </w:p>
        </w:tc>
      </w:tr>
      <w:tr w:rsidR="00A90FDC" w:rsidRPr="00A90FDC" w14:paraId="5D9B83F6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C3D018F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7. Ostali prihodi s osnove kamata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B71BBB7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5.651,01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53B438E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9.971,51</w:t>
            </w:r>
          </w:p>
        </w:tc>
      </w:tr>
      <w:tr w:rsidR="00A90FDC" w:rsidRPr="00A90FDC" w14:paraId="129709AA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2226B5B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8. Tečajne razlike i ostali financijski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D7D469E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4,70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A0AFCF4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2,79</w:t>
            </w:r>
          </w:p>
        </w:tc>
      </w:tr>
      <w:tr w:rsidR="00A90FDC" w:rsidRPr="00A90FDC" w14:paraId="43C2B4DB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75A7D53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 9. Nerealizirani dobici (prihodi) od 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586A653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9A7C1C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434CE052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FA1182B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10. Ostali financijski prihodi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228DE99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2.186,61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4F0572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7.092,31</w:t>
            </w:r>
          </w:p>
        </w:tc>
      </w:tr>
      <w:tr w:rsidR="00A90FDC" w:rsidRPr="00A90FDC" w14:paraId="719AE0C4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7467025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IV. FINANCIJSKI RASHODI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169 do 175)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4492AC8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60.168,20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5FB37D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51.687,26</w:t>
            </w:r>
          </w:p>
        </w:tc>
      </w:tr>
      <w:tr w:rsidR="00A90FDC" w:rsidRPr="00A90FDC" w14:paraId="41FEF84F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DADA3FB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 1. Rashodi s osnove kamata i slični rashodi s poduzetnicima unutar grupe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978B9D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77F196B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2DF05F1C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6D88D1C1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 Tečajne razlike i drugi rashodi s poduzetnicima unutar grupe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4E3B7E6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F12C3DB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43FF4EEA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797D71A3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 Rashodi s osnove kamata i slični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C7D6A7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60.162,57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269E83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51.677,47</w:t>
            </w:r>
          </w:p>
        </w:tc>
      </w:tr>
      <w:tr w:rsidR="00A90FDC" w:rsidRPr="00A90FDC" w14:paraId="2DAA919C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4835048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 Tečajne razlike i drugi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CABBBD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5,63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352E1BA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9,79</w:t>
            </w:r>
          </w:p>
        </w:tc>
      </w:tr>
      <w:tr w:rsidR="00A90FDC" w:rsidRPr="00A90FDC" w14:paraId="3DD49C5E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3A0DCE0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 Nerealizirani gubici (rashodi) od financijske imovine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4D4630A0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8C44D42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6762AD12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207F8F40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 Vrijednosna usklađenja financijske imovine (neto)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8A76091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8307E1B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10A2373C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F966E85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7. Ostali financijski rashodi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91ABC22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1B039B1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 </w:t>
            </w:r>
          </w:p>
        </w:tc>
      </w:tr>
      <w:tr w:rsidR="00A90FDC" w:rsidRPr="00A90FDC" w14:paraId="50207663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A2DBD0F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V.   UKUPNI PRIHODI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128+157+176 + 177)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7BAAE23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5.722.261,84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FB72558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6.522.792,15</w:t>
            </w:r>
          </w:p>
        </w:tc>
      </w:tr>
      <w:tr w:rsidR="00A90FDC" w:rsidRPr="00A90FDC" w14:paraId="3E903800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86A9081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VI.    UKUPNI RASHODI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134+168+178 + 179)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B3664D9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5.664.768,52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70C7DDA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6.424.381,86</w:t>
            </w:r>
          </w:p>
        </w:tc>
      </w:tr>
      <w:tr w:rsidR="00A90FDC" w:rsidRPr="00A90FDC" w14:paraId="6991DA1B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3DC11F1B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VII.   DOBIT ILI GUBITAK PRIJE OPOREZIVANJA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180-181)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4D3371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57.493,32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5F6010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98.410,29</w:t>
            </w:r>
          </w:p>
        </w:tc>
      </w:tr>
      <w:tr w:rsidR="00A90FDC" w:rsidRPr="00A90FDC" w14:paraId="165BBE45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B692DFB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1. Dobit prije oporezivanja (AOP 180-181)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2D15A670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57.493,32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29EEFA1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98.410,29</w:t>
            </w:r>
          </w:p>
        </w:tc>
      </w:tr>
      <w:tr w:rsidR="00A90FDC" w:rsidRPr="00A90FDC" w14:paraId="511AA32F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589F1B2E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 2. Gubitak prije oporezivanja (AOP 181-180)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AE2A3C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13B2E57D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  <w:tr w:rsidR="00A90FDC" w:rsidRPr="00A90FDC" w14:paraId="66EA3041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05F31373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XII.  POREZ NA DOBIT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93DE04B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22.554,78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35D27BF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24.645,36</w:t>
            </w:r>
          </w:p>
        </w:tc>
      </w:tr>
      <w:tr w:rsidR="00A90FDC" w:rsidRPr="00A90FDC" w14:paraId="2993594B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414A2E0A" w14:textId="77777777" w:rsidR="00A90FDC" w:rsidRPr="00A90FDC" w:rsidRDefault="00A90FDC" w:rsidP="00A90FD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XIII. DOBIT ILI GUBITAK RAZDOBLJA </w:t>
            </w: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(AOP 182-185)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5D51C3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34.938,54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6BA810A4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73.764,93</w:t>
            </w:r>
          </w:p>
        </w:tc>
      </w:tr>
      <w:tr w:rsidR="00A90FDC" w:rsidRPr="00A90FDC" w14:paraId="5F24C585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  <w:vAlign w:val="center"/>
            <w:hideMark/>
          </w:tcPr>
          <w:p w14:paraId="14D55383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1. Dobit razdoblja (AOP 182-185)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56F18415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34.938,54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C0C0C0"/>
              <w:right w:val="single" w:sz="4" w:space="0" w:color="auto"/>
            </w:tcBorders>
            <w:noWrap/>
            <w:vAlign w:val="center"/>
            <w:hideMark/>
          </w:tcPr>
          <w:p w14:paraId="0A64FC03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73.764,93</w:t>
            </w:r>
          </w:p>
        </w:tc>
      </w:tr>
      <w:tr w:rsidR="00A90FDC" w:rsidRPr="00A90FDC" w14:paraId="50B7466F" w14:textId="77777777" w:rsidTr="00A90FDC">
        <w:trPr>
          <w:trHeight w:val="240"/>
        </w:trPr>
        <w:tc>
          <w:tcPr>
            <w:tcW w:w="6740" w:type="dxa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75A1" w14:textId="77777777" w:rsidR="00A90FDC" w:rsidRPr="00A90FDC" w:rsidRDefault="00A90FDC" w:rsidP="00A90FDC">
            <w:pPr>
              <w:spacing w:after="0" w:line="240" w:lineRule="auto"/>
              <w:ind w:firstLineChars="100" w:firstLine="180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 xml:space="preserve">  2. Gubitak razdoblja (AOP 185-182)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F7410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5443BC" w14:textId="77777777" w:rsidR="00A90FDC" w:rsidRPr="00A90FDC" w:rsidRDefault="00A90FDC" w:rsidP="00A90FD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A90FDC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0,00</w:t>
            </w:r>
          </w:p>
        </w:tc>
      </w:tr>
    </w:tbl>
    <w:p w14:paraId="20FEF952" w14:textId="77777777" w:rsidR="00A90FDC" w:rsidRPr="00A90FDC" w:rsidRDefault="00A90FDC" w:rsidP="00E659DA">
      <w:pPr>
        <w:jc w:val="both"/>
        <w:rPr>
          <w:rFonts w:ascii="Arial" w:hAnsi="Arial" w:cs="Arial"/>
          <w:sz w:val="18"/>
          <w:szCs w:val="18"/>
        </w:rPr>
      </w:pPr>
    </w:p>
    <w:p w14:paraId="42316A41" w14:textId="77777777" w:rsidR="00A90FDC" w:rsidRDefault="00A90FDC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565E0DBA" w14:textId="77777777" w:rsidR="00A90FDC" w:rsidRDefault="00A90FDC" w:rsidP="00E659DA">
      <w:pPr>
        <w:jc w:val="both"/>
        <w:rPr>
          <w:rFonts w:ascii="Arial" w:hAnsi="Arial" w:cs="Arial"/>
          <w:i/>
          <w:iCs/>
          <w:sz w:val="18"/>
          <w:szCs w:val="18"/>
        </w:rPr>
      </w:pPr>
    </w:p>
    <w:p w14:paraId="0447FF60" w14:textId="1443307B" w:rsidR="00063F8F" w:rsidRPr="0075516B" w:rsidRDefault="00063F8F" w:rsidP="00E659DA">
      <w:pPr>
        <w:jc w:val="both"/>
        <w:rPr>
          <w:rFonts w:ascii="Calibri" w:eastAsia="Times New Roman" w:hAnsi="Calibri" w:cs="Calibri"/>
          <w:color w:val="000000"/>
          <w:sz w:val="18"/>
          <w:szCs w:val="18"/>
          <w:lang w:eastAsia="hr-HR"/>
        </w:rPr>
      </w:pPr>
      <w:r w:rsidRPr="0075516B">
        <w:rPr>
          <w:rFonts w:cstheme="minorHAnsi"/>
        </w:rPr>
        <w:lastRenderedPageBreak/>
        <w:t>Ukupni prihodi u 202</w:t>
      </w:r>
      <w:r w:rsidR="006C2B0B" w:rsidRPr="0075516B">
        <w:rPr>
          <w:rFonts w:cstheme="minorHAnsi"/>
        </w:rPr>
        <w:t>5</w:t>
      </w:r>
      <w:r w:rsidRPr="0075516B">
        <w:rPr>
          <w:rFonts w:cstheme="minorHAnsi"/>
        </w:rPr>
        <w:t xml:space="preserve">. godini iznose </w:t>
      </w:r>
      <w:r w:rsidR="0075516B" w:rsidRPr="0075516B">
        <w:rPr>
          <w:rFonts w:cstheme="minorHAnsi"/>
        </w:rPr>
        <w:t xml:space="preserve">6.522.792,15 </w:t>
      </w:r>
      <w:r w:rsidR="00C650CF" w:rsidRPr="0075516B">
        <w:rPr>
          <w:rFonts w:cstheme="minorHAnsi"/>
        </w:rPr>
        <w:t>.</w:t>
      </w:r>
      <w:r w:rsidRPr="0075516B">
        <w:rPr>
          <w:rFonts w:cstheme="minorHAnsi"/>
        </w:rPr>
        <w:t xml:space="preserve"> Najveću stavku u ukupnim prihodima čine prihodi od prodaje sa </w:t>
      </w:r>
      <w:r w:rsidR="0075516B" w:rsidRPr="0075516B">
        <w:rPr>
          <w:rFonts w:ascii="Calibri" w:eastAsia="Times New Roman" w:hAnsi="Calibri" w:cs="Calibri"/>
          <w:color w:val="000000"/>
          <w:lang w:eastAsia="hr-HR"/>
        </w:rPr>
        <w:t>6</w:t>
      </w:r>
      <w:r w:rsidR="0075516B">
        <w:rPr>
          <w:rFonts w:ascii="Calibri" w:eastAsia="Times New Roman" w:hAnsi="Calibri" w:cs="Calibri"/>
          <w:color w:val="000000"/>
          <w:lang w:eastAsia="hr-HR"/>
        </w:rPr>
        <w:t>.</w:t>
      </w:r>
      <w:r w:rsidR="0075516B" w:rsidRPr="0075516B">
        <w:rPr>
          <w:rFonts w:ascii="Calibri" w:eastAsia="Times New Roman" w:hAnsi="Calibri" w:cs="Calibri"/>
          <w:color w:val="000000"/>
          <w:lang w:eastAsia="hr-HR"/>
        </w:rPr>
        <w:t>097</w:t>
      </w:r>
      <w:r w:rsidR="0075516B">
        <w:rPr>
          <w:rFonts w:ascii="Calibri" w:eastAsia="Times New Roman" w:hAnsi="Calibri" w:cs="Calibri"/>
          <w:color w:val="000000"/>
          <w:lang w:eastAsia="hr-HR"/>
        </w:rPr>
        <w:t>.</w:t>
      </w:r>
      <w:r w:rsidR="0075516B" w:rsidRPr="0075516B">
        <w:rPr>
          <w:rFonts w:ascii="Calibri" w:eastAsia="Times New Roman" w:hAnsi="Calibri" w:cs="Calibri"/>
          <w:color w:val="000000"/>
          <w:lang w:eastAsia="hr-HR"/>
        </w:rPr>
        <w:t>623,84</w:t>
      </w:r>
      <w:r w:rsidR="0075516B">
        <w:rPr>
          <w:rFonts w:ascii="Calibri" w:eastAsia="Times New Roman" w:hAnsi="Calibri" w:cs="Calibri"/>
          <w:color w:val="000000"/>
          <w:lang w:eastAsia="hr-HR"/>
        </w:rPr>
        <w:t xml:space="preserve"> </w:t>
      </w:r>
      <w:r w:rsidR="0018737A" w:rsidRPr="0075516B">
        <w:rPr>
          <w:rFonts w:cstheme="minorHAnsi"/>
        </w:rPr>
        <w:t>EUR</w:t>
      </w:r>
      <w:r w:rsidRPr="0075516B">
        <w:rPr>
          <w:rFonts w:cstheme="minorHAnsi"/>
        </w:rPr>
        <w:t xml:space="preserve"> </w:t>
      </w:r>
      <w:r w:rsidR="00316EEF" w:rsidRPr="0075516B">
        <w:rPr>
          <w:rFonts w:cstheme="minorHAnsi"/>
        </w:rPr>
        <w:t xml:space="preserve">koji  čine u strukturi </w:t>
      </w:r>
      <w:r w:rsidRPr="0075516B">
        <w:rPr>
          <w:rFonts w:cstheme="minorHAnsi"/>
        </w:rPr>
        <w:t>(9</w:t>
      </w:r>
      <w:r w:rsidR="0075516B">
        <w:rPr>
          <w:rFonts w:cstheme="minorHAnsi"/>
        </w:rPr>
        <w:t>3,48</w:t>
      </w:r>
      <w:r w:rsidRPr="0075516B">
        <w:rPr>
          <w:rFonts w:cstheme="minorHAnsi"/>
        </w:rPr>
        <w:t>%), zatim ostali poslovni prihodi</w:t>
      </w:r>
      <w:r w:rsidR="000E25E0" w:rsidRPr="0075516B">
        <w:rPr>
          <w:rFonts w:cstheme="minorHAnsi"/>
        </w:rPr>
        <w:t xml:space="preserve"> </w:t>
      </w:r>
      <w:r w:rsidR="0075516B" w:rsidRPr="0075516B">
        <w:rPr>
          <w:rFonts w:cstheme="minorHAnsi"/>
        </w:rPr>
        <w:t>408.101,7</w:t>
      </w:r>
      <w:r w:rsidR="00131A88" w:rsidRPr="0075516B">
        <w:rPr>
          <w:rFonts w:cstheme="minorHAnsi"/>
        </w:rPr>
        <w:t>odnosno</w:t>
      </w:r>
      <w:r w:rsidR="00A123E1" w:rsidRPr="0075516B">
        <w:rPr>
          <w:rFonts w:cstheme="minorHAnsi"/>
        </w:rPr>
        <w:t xml:space="preserve"> (</w:t>
      </w:r>
      <w:r w:rsidR="00316EEF" w:rsidRPr="0075516B">
        <w:rPr>
          <w:rFonts w:cstheme="minorHAnsi"/>
        </w:rPr>
        <w:t>6,</w:t>
      </w:r>
      <w:r w:rsidR="0075516B" w:rsidRPr="0075516B">
        <w:rPr>
          <w:rFonts w:cstheme="minorHAnsi"/>
        </w:rPr>
        <w:t>2</w:t>
      </w:r>
      <w:r w:rsidR="0075516B">
        <w:rPr>
          <w:rFonts w:cstheme="minorHAnsi"/>
        </w:rPr>
        <w:t>6</w:t>
      </w:r>
      <w:r w:rsidR="00A123E1" w:rsidRPr="0075516B">
        <w:rPr>
          <w:rFonts w:cstheme="minorHAnsi"/>
        </w:rPr>
        <w:t>%),</w:t>
      </w:r>
      <w:r w:rsidR="00131A88" w:rsidRPr="0075516B">
        <w:rPr>
          <w:rFonts w:cstheme="minorHAnsi"/>
        </w:rPr>
        <w:t xml:space="preserve"> </w:t>
      </w:r>
      <w:r w:rsidR="00A123E1" w:rsidRPr="0075516B">
        <w:rPr>
          <w:rFonts w:cstheme="minorHAnsi"/>
        </w:rPr>
        <w:t>a</w:t>
      </w:r>
      <w:r w:rsidR="000E25E0" w:rsidRPr="0075516B">
        <w:rPr>
          <w:rFonts w:cstheme="minorHAnsi"/>
        </w:rPr>
        <w:t xml:space="preserve"> financijski</w:t>
      </w:r>
      <w:r w:rsidRPr="0075516B">
        <w:rPr>
          <w:rFonts w:cstheme="minorHAnsi"/>
        </w:rPr>
        <w:t xml:space="preserve"> </w:t>
      </w:r>
      <w:r w:rsidR="000E25E0" w:rsidRPr="0075516B">
        <w:rPr>
          <w:rFonts w:cstheme="minorHAnsi"/>
        </w:rPr>
        <w:t>prihodi</w:t>
      </w:r>
      <w:r w:rsidR="00A123E1" w:rsidRPr="0075516B">
        <w:rPr>
          <w:rFonts w:cstheme="minorHAnsi"/>
        </w:rPr>
        <w:t xml:space="preserve"> </w:t>
      </w:r>
      <w:r w:rsidR="0075516B" w:rsidRPr="0075516B">
        <w:rPr>
          <w:rFonts w:cstheme="minorHAnsi"/>
        </w:rPr>
        <w:t>17</w:t>
      </w:r>
      <w:r w:rsidR="0075516B">
        <w:rPr>
          <w:rFonts w:cstheme="minorHAnsi"/>
        </w:rPr>
        <w:t>.</w:t>
      </w:r>
      <w:r w:rsidR="0075516B" w:rsidRPr="0075516B">
        <w:rPr>
          <w:rFonts w:cstheme="minorHAnsi"/>
        </w:rPr>
        <w:t>066,61</w:t>
      </w:r>
      <w:r w:rsidR="0075516B">
        <w:rPr>
          <w:rFonts w:cstheme="minorHAnsi"/>
        </w:rPr>
        <w:t xml:space="preserve"> EUR </w:t>
      </w:r>
      <w:r w:rsidR="00131A88" w:rsidRPr="0075516B">
        <w:rPr>
          <w:rFonts w:cstheme="minorHAnsi"/>
        </w:rPr>
        <w:t>sa</w:t>
      </w:r>
      <w:r w:rsidR="00425ABA" w:rsidRPr="0075516B">
        <w:rPr>
          <w:rFonts w:cstheme="minorHAnsi"/>
        </w:rPr>
        <w:t xml:space="preserve"> </w:t>
      </w:r>
      <w:r w:rsidR="00A123E1" w:rsidRPr="0075516B">
        <w:rPr>
          <w:rFonts w:cstheme="minorHAnsi"/>
        </w:rPr>
        <w:t>(0,</w:t>
      </w:r>
      <w:r w:rsidR="0075516B">
        <w:rPr>
          <w:rFonts w:cstheme="minorHAnsi"/>
        </w:rPr>
        <w:t>26</w:t>
      </w:r>
      <w:r w:rsidR="00A123E1" w:rsidRPr="0075516B">
        <w:rPr>
          <w:rFonts w:cstheme="minorHAnsi"/>
        </w:rPr>
        <w:t xml:space="preserve"> %)</w:t>
      </w:r>
      <w:r w:rsidRPr="0075516B">
        <w:rPr>
          <w:rFonts w:cstheme="minorHAnsi"/>
        </w:rPr>
        <w:t>. Prihodi od prodaje su se u 202</w:t>
      </w:r>
      <w:r w:rsidR="006C2B0B" w:rsidRPr="0075516B">
        <w:rPr>
          <w:rFonts w:cstheme="minorHAnsi"/>
        </w:rPr>
        <w:t>5</w:t>
      </w:r>
      <w:r w:rsidRPr="0075516B">
        <w:rPr>
          <w:rFonts w:cstheme="minorHAnsi"/>
        </w:rPr>
        <w:t xml:space="preserve">. godini povećali za </w:t>
      </w:r>
      <w:r w:rsidR="0075516B">
        <w:rPr>
          <w:rFonts w:cstheme="minorHAnsi"/>
        </w:rPr>
        <w:t>13,93</w:t>
      </w:r>
      <w:r w:rsidR="000E25E0" w:rsidRPr="0075516B">
        <w:rPr>
          <w:rFonts w:cstheme="minorHAnsi"/>
        </w:rPr>
        <w:t xml:space="preserve"> </w:t>
      </w:r>
      <w:r w:rsidRPr="0075516B">
        <w:rPr>
          <w:rFonts w:cstheme="minorHAnsi"/>
        </w:rPr>
        <w:t>%</w:t>
      </w:r>
      <w:r w:rsidRPr="00741F1A">
        <w:rPr>
          <w:rFonts w:cstheme="minorHAnsi"/>
        </w:rPr>
        <w:t xml:space="preserve"> dok su se ukupni prihodi povećali za </w:t>
      </w:r>
      <w:r w:rsidR="0075516B">
        <w:rPr>
          <w:rFonts w:cstheme="minorHAnsi"/>
        </w:rPr>
        <w:t>13,99</w:t>
      </w:r>
      <w:r w:rsidR="000E25E0" w:rsidRPr="00741F1A">
        <w:rPr>
          <w:rFonts w:cstheme="minorHAnsi"/>
        </w:rPr>
        <w:t xml:space="preserve"> </w:t>
      </w:r>
      <w:r w:rsidRPr="00741F1A">
        <w:rPr>
          <w:rFonts w:cstheme="minorHAnsi"/>
        </w:rPr>
        <w:t>%.</w:t>
      </w:r>
    </w:p>
    <w:p w14:paraId="591CBA2C" w14:textId="6591E3B4" w:rsidR="00063F8F" w:rsidRDefault="00063F8F" w:rsidP="00E659DA">
      <w:pPr>
        <w:jc w:val="both"/>
        <w:rPr>
          <w:rFonts w:cstheme="minorHAnsi"/>
        </w:rPr>
      </w:pPr>
      <w:r w:rsidRPr="00741F1A">
        <w:rPr>
          <w:rFonts w:cstheme="minorHAnsi"/>
        </w:rPr>
        <w:t>Ukupni rashodi u 202</w:t>
      </w:r>
      <w:r w:rsidR="002D2240">
        <w:rPr>
          <w:rFonts w:cstheme="minorHAnsi"/>
        </w:rPr>
        <w:t>5</w:t>
      </w:r>
      <w:r w:rsidRPr="00741F1A">
        <w:rPr>
          <w:rFonts w:cstheme="minorHAnsi"/>
        </w:rPr>
        <w:t xml:space="preserve">. godini iznose </w:t>
      </w:r>
      <w:r w:rsidR="0075516B" w:rsidRPr="0075516B">
        <w:rPr>
          <w:rFonts w:cstheme="minorHAnsi"/>
        </w:rPr>
        <w:t>6</w:t>
      </w:r>
      <w:r w:rsidR="0075516B">
        <w:rPr>
          <w:rFonts w:cstheme="minorHAnsi"/>
        </w:rPr>
        <w:t>.</w:t>
      </w:r>
      <w:r w:rsidR="0075516B" w:rsidRPr="0075516B">
        <w:rPr>
          <w:rFonts w:cstheme="minorHAnsi"/>
        </w:rPr>
        <w:t>424</w:t>
      </w:r>
      <w:r w:rsidR="0075516B">
        <w:rPr>
          <w:rFonts w:cstheme="minorHAnsi"/>
        </w:rPr>
        <w:t>.</w:t>
      </w:r>
      <w:r w:rsidR="0075516B" w:rsidRPr="0075516B">
        <w:rPr>
          <w:rFonts w:cstheme="minorHAnsi"/>
        </w:rPr>
        <w:t>381,86</w:t>
      </w:r>
      <w:r w:rsidR="0075516B">
        <w:rPr>
          <w:rFonts w:cstheme="minorHAnsi"/>
        </w:rPr>
        <w:t xml:space="preserve"> </w:t>
      </w:r>
      <w:r w:rsidR="00425ABA" w:rsidRPr="00741F1A">
        <w:rPr>
          <w:rFonts w:cstheme="minorHAnsi"/>
        </w:rPr>
        <w:t>EUR</w:t>
      </w:r>
      <w:r w:rsidRPr="00741F1A">
        <w:rPr>
          <w:rFonts w:cstheme="minorHAnsi"/>
        </w:rPr>
        <w:t>. Strukturu ukupnih rashoda čine materijalni troškovi sa</w:t>
      </w:r>
      <w:r w:rsidR="00141E43">
        <w:rPr>
          <w:rFonts w:cstheme="minorHAnsi"/>
        </w:rPr>
        <w:t xml:space="preserve"> </w:t>
      </w:r>
      <w:r w:rsidR="00B4497E" w:rsidRPr="00B4497E">
        <w:rPr>
          <w:rFonts w:cstheme="minorHAnsi"/>
        </w:rPr>
        <w:t>1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892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637,82</w:t>
      </w:r>
      <w:r w:rsidR="00141E43">
        <w:rPr>
          <w:rFonts w:cstheme="minorHAnsi"/>
        </w:rPr>
        <w:t>EUR</w:t>
      </w:r>
      <w:r w:rsidRPr="00741F1A">
        <w:rPr>
          <w:rFonts w:cstheme="minorHAnsi"/>
        </w:rPr>
        <w:t xml:space="preserve">  (</w:t>
      </w:r>
      <w:r w:rsidR="00B4497E">
        <w:rPr>
          <w:rFonts w:cstheme="minorHAnsi"/>
        </w:rPr>
        <w:t>29,46</w:t>
      </w:r>
      <w:r w:rsidRPr="00741F1A">
        <w:rPr>
          <w:rFonts w:cstheme="minorHAnsi"/>
        </w:rPr>
        <w:t xml:space="preserve">%), troškovi osoblja iznose </w:t>
      </w:r>
      <w:r w:rsidR="00B4497E" w:rsidRPr="00B4497E">
        <w:rPr>
          <w:rFonts w:cstheme="minorHAnsi"/>
        </w:rPr>
        <w:t>2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848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660,09</w:t>
      </w:r>
      <w:r w:rsidR="00B4497E">
        <w:rPr>
          <w:rFonts w:cstheme="minorHAnsi"/>
        </w:rPr>
        <w:t xml:space="preserve"> </w:t>
      </w:r>
      <w:r w:rsidR="00425ABA" w:rsidRPr="00741F1A">
        <w:rPr>
          <w:rFonts w:cstheme="minorHAnsi"/>
        </w:rPr>
        <w:t>EUR</w:t>
      </w:r>
      <w:r w:rsidRPr="00741F1A">
        <w:rPr>
          <w:rFonts w:cstheme="minorHAnsi"/>
        </w:rPr>
        <w:t xml:space="preserve"> (</w:t>
      </w:r>
      <w:r w:rsidR="000E25E0" w:rsidRPr="00741F1A">
        <w:rPr>
          <w:rFonts w:cstheme="minorHAnsi"/>
        </w:rPr>
        <w:t>4</w:t>
      </w:r>
      <w:r w:rsidR="00B4497E">
        <w:rPr>
          <w:rFonts w:cstheme="minorHAnsi"/>
        </w:rPr>
        <w:t>4,34</w:t>
      </w:r>
      <w:r w:rsidRPr="00741F1A">
        <w:rPr>
          <w:rFonts w:cstheme="minorHAnsi"/>
        </w:rPr>
        <w:t xml:space="preserve">%), amortizacija iznosi </w:t>
      </w:r>
      <w:r w:rsidR="00B4497E" w:rsidRPr="00B4497E">
        <w:rPr>
          <w:rFonts w:cstheme="minorHAnsi"/>
        </w:rPr>
        <w:t>476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489,28</w:t>
      </w:r>
      <w:r w:rsidR="00B4497E">
        <w:rPr>
          <w:rFonts w:cstheme="minorHAnsi"/>
        </w:rPr>
        <w:t xml:space="preserve"> </w:t>
      </w:r>
      <w:r w:rsidR="00EF7E00" w:rsidRPr="00741F1A">
        <w:rPr>
          <w:rFonts w:cstheme="minorHAnsi"/>
        </w:rPr>
        <w:t>EUR</w:t>
      </w:r>
      <w:r w:rsidRPr="00741F1A">
        <w:rPr>
          <w:rFonts w:cstheme="minorHAnsi"/>
        </w:rPr>
        <w:t xml:space="preserve"> (</w:t>
      </w:r>
      <w:r w:rsidR="00EF7E00" w:rsidRPr="00741F1A">
        <w:rPr>
          <w:rFonts w:cstheme="minorHAnsi"/>
        </w:rPr>
        <w:t>7,</w:t>
      </w:r>
      <w:r w:rsidR="00B4497E">
        <w:rPr>
          <w:rFonts w:cstheme="minorHAnsi"/>
        </w:rPr>
        <w:t>42</w:t>
      </w:r>
      <w:r w:rsidRPr="00741F1A">
        <w:rPr>
          <w:rFonts w:cstheme="minorHAnsi"/>
        </w:rPr>
        <w:t xml:space="preserve">%), ostali troškovi </w:t>
      </w:r>
      <w:r w:rsidR="00B4497E" w:rsidRPr="00B4497E">
        <w:rPr>
          <w:rFonts w:cstheme="minorHAnsi"/>
        </w:rPr>
        <w:t>786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909,99</w:t>
      </w:r>
      <w:r w:rsidR="00EF7E00" w:rsidRPr="00741F1A">
        <w:rPr>
          <w:rFonts w:cstheme="minorHAnsi"/>
        </w:rPr>
        <w:t xml:space="preserve">EUR </w:t>
      </w:r>
      <w:r w:rsidRPr="00741F1A">
        <w:rPr>
          <w:rFonts w:cstheme="minorHAnsi"/>
        </w:rPr>
        <w:t xml:space="preserve"> (</w:t>
      </w:r>
      <w:r w:rsidR="00EF7E00" w:rsidRPr="00741F1A">
        <w:rPr>
          <w:rFonts w:cstheme="minorHAnsi"/>
        </w:rPr>
        <w:t>12,2</w:t>
      </w:r>
      <w:r w:rsidR="00B4497E">
        <w:rPr>
          <w:rFonts w:cstheme="minorHAnsi"/>
        </w:rPr>
        <w:t>5</w:t>
      </w:r>
      <w:r w:rsidRPr="00741F1A">
        <w:rPr>
          <w:rFonts w:cstheme="minorHAnsi"/>
        </w:rPr>
        <w:t xml:space="preserve">%), vrijednosna usklađenja </w:t>
      </w:r>
      <w:r w:rsidR="00B4497E" w:rsidRPr="00B4497E">
        <w:rPr>
          <w:rFonts w:cstheme="minorHAnsi"/>
        </w:rPr>
        <w:t>141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837,61</w:t>
      </w:r>
      <w:r w:rsidR="00B4497E">
        <w:rPr>
          <w:rFonts w:cstheme="minorHAnsi"/>
        </w:rPr>
        <w:t xml:space="preserve"> </w:t>
      </w:r>
      <w:r w:rsidR="00EF7E00" w:rsidRPr="00741F1A">
        <w:rPr>
          <w:rFonts w:cstheme="minorHAnsi"/>
        </w:rPr>
        <w:t>EUR</w:t>
      </w:r>
      <w:r w:rsidRPr="00741F1A">
        <w:rPr>
          <w:rFonts w:cstheme="minorHAnsi"/>
        </w:rPr>
        <w:t xml:space="preserve"> (</w:t>
      </w:r>
      <w:r w:rsidR="00B4497E">
        <w:rPr>
          <w:rFonts w:cstheme="minorHAnsi"/>
        </w:rPr>
        <w:t>2,21</w:t>
      </w:r>
      <w:r w:rsidRPr="00741F1A">
        <w:rPr>
          <w:rFonts w:cstheme="minorHAnsi"/>
        </w:rPr>
        <w:t xml:space="preserve">%), rezerviranja </w:t>
      </w:r>
      <w:r w:rsidR="00B4497E" w:rsidRPr="00B4497E">
        <w:rPr>
          <w:rFonts w:cstheme="minorHAnsi"/>
        </w:rPr>
        <w:t>215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395,12</w:t>
      </w:r>
      <w:r w:rsidR="00EF7E00" w:rsidRPr="00741F1A">
        <w:rPr>
          <w:rFonts w:cstheme="minorHAnsi"/>
        </w:rPr>
        <w:t>EUR</w:t>
      </w:r>
      <w:r w:rsidRPr="00741F1A">
        <w:rPr>
          <w:rFonts w:cstheme="minorHAnsi"/>
        </w:rPr>
        <w:t xml:space="preserve"> (</w:t>
      </w:r>
      <w:r w:rsidR="00B4497E">
        <w:rPr>
          <w:rFonts w:cstheme="minorHAnsi"/>
        </w:rPr>
        <w:t>3,35</w:t>
      </w:r>
      <w:r w:rsidRPr="00741F1A">
        <w:rPr>
          <w:rFonts w:cstheme="minorHAnsi"/>
        </w:rPr>
        <w:t xml:space="preserve">%), ostali poslovni rashodi </w:t>
      </w:r>
      <w:r w:rsidR="00B4497E" w:rsidRPr="00B4497E">
        <w:rPr>
          <w:rFonts w:cstheme="minorHAnsi"/>
        </w:rPr>
        <w:t>10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764,69</w:t>
      </w:r>
      <w:r w:rsidR="00EF7E00" w:rsidRPr="00741F1A">
        <w:rPr>
          <w:rFonts w:cstheme="minorHAnsi"/>
        </w:rPr>
        <w:t>EUR</w:t>
      </w:r>
      <w:r w:rsidRPr="00741F1A">
        <w:rPr>
          <w:rFonts w:cstheme="minorHAnsi"/>
        </w:rPr>
        <w:t xml:space="preserve"> (</w:t>
      </w:r>
      <w:r w:rsidR="00072D52" w:rsidRPr="00741F1A">
        <w:rPr>
          <w:rFonts w:cstheme="minorHAnsi"/>
        </w:rPr>
        <w:t>0,</w:t>
      </w:r>
      <w:r w:rsidR="00B4497E">
        <w:rPr>
          <w:rFonts w:cstheme="minorHAnsi"/>
        </w:rPr>
        <w:t>17</w:t>
      </w:r>
      <w:r w:rsidRPr="00741F1A">
        <w:rPr>
          <w:rFonts w:cstheme="minorHAnsi"/>
        </w:rPr>
        <w:t xml:space="preserve">%) i financijski rashodi </w:t>
      </w:r>
      <w:r w:rsidR="00B4497E" w:rsidRPr="00B4497E">
        <w:rPr>
          <w:rFonts w:cstheme="minorHAnsi"/>
        </w:rPr>
        <w:t>51</w:t>
      </w:r>
      <w:r w:rsidR="00B4497E">
        <w:rPr>
          <w:rFonts w:cstheme="minorHAnsi"/>
        </w:rPr>
        <w:t>.</w:t>
      </w:r>
      <w:r w:rsidR="00B4497E" w:rsidRPr="00B4497E">
        <w:rPr>
          <w:rFonts w:cstheme="minorHAnsi"/>
        </w:rPr>
        <w:t>687,26</w:t>
      </w:r>
      <w:r w:rsidR="00EF7E00" w:rsidRPr="00741F1A">
        <w:rPr>
          <w:rFonts w:cstheme="minorHAnsi"/>
        </w:rPr>
        <w:t>EUR (</w:t>
      </w:r>
      <w:r w:rsidR="00B4497E">
        <w:rPr>
          <w:rFonts w:cstheme="minorHAnsi"/>
        </w:rPr>
        <w:t xml:space="preserve">0,80 </w:t>
      </w:r>
      <w:r w:rsidRPr="00741F1A">
        <w:rPr>
          <w:rFonts w:cstheme="minorHAnsi"/>
        </w:rPr>
        <w:t>%).</w:t>
      </w:r>
    </w:p>
    <w:p w14:paraId="3E1F21F2" w14:textId="22F81EA9" w:rsidR="00063F8F" w:rsidRPr="00741F1A" w:rsidRDefault="00063F8F" w:rsidP="00E659DA">
      <w:pPr>
        <w:jc w:val="both"/>
        <w:rPr>
          <w:rFonts w:cstheme="minorHAnsi"/>
        </w:rPr>
      </w:pPr>
      <w:r w:rsidRPr="00741F1A">
        <w:rPr>
          <w:rFonts w:cstheme="minorHAnsi"/>
        </w:rPr>
        <w:t>U 202</w:t>
      </w:r>
      <w:r w:rsidR="00FE4130">
        <w:rPr>
          <w:rFonts w:cstheme="minorHAnsi"/>
        </w:rPr>
        <w:t>5.</w:t>
      </w:r>
      <w:r w:rsidRPr="00741F1A">
        <w:rPr>
          <w:rFonts w:cstheme="minorHAnsi"/>
        </w:rPr>
        <w:t xml:space="preserve"> godini ukupni rashodi su se </w:t>
      </w:r>
      <w:r w:rsidR="00072D52" w:rsidRPr="00741F1A">
        <w:rPr>
          <w:rFonts w:cstheme="minorHAnsi"/>
        </w:rPr>
        <w:t>povećali</w:t>
      </w:r>
      <w:r w:rsidRPr="00741F1A">
        <w:rPr>
          <w:rFonts w:cstheme="minorHAnsi"/>
        </w:rPr>
        <w:t xml:space="preserve"> za </w:t>
      </w:r>
      <w:r w:rsidR="00FE4130" w:rsidRPr="00FE4130">
        <w:rPr>
          <w:rFonts w:cstheme="minorHAnsi"/>
        </w:rPr>
        <w:t>759</w:t>
      </w:r>
      <w:r w:rsidR="00FE4130">
        <w:rPr>
          <w:rFonts w:cstheme="minorHAnsi"/>
        </w:rPr>
        <w:t xml:space="preserve">. </w:t>
      </w:r>
      <w:r w:rsidR="00FE4130" w:rsidRPr="00FE4130">
        <w:rPr>
          <w:rFonts w:cstheme="minorHAnsi"/>
        </w:rPr>
        <w:t xml:space="preserve">613,34 </w:t>
      </w:r>
      <w:r w:rsidR="00EF7E00" w:rsidRPr="00741F1A">
        <w:rPr>
          <w:rFonts w:cstheme="minorHAnsi"/>
        </w:rPr>
        <w:t xml:space="preserve">EUR </w:t>
      </w:r>
      <w:r w:rsidRPr="00741F1A">
        <w:rPr>
          <w:rFonts w:cstheme="minorHAnsi"/>
        </w:rPr>
        <w:t xml:space="preserve"> odnosno za </w:t>
      </w:r>
      <w:r w:rsidR="00FE4130">
        <w:rPr>
          <w:rFonts w:cstheme="minorHAnsi"/>
        </w:rPr>
        <w:t xml:space="preserve">13,41 </w:t>
      </w:r>
      <w:r w:rsidRPr="00741F1A">
        <w:rPr>
          <w:rFonts w:cstheme="minorHAnsi"/>
        </w:rPr>
        <w:t>%.</w:t>
      </w:r>
    </w:p>
    <w:p w14:paraId="354E00E9" w14:textId="397AC2CF" w:rsidR="00693EB7" w:rsidRDefault="00BC2A57" w:rsidP="00E659DA">
      <w:pPr>
        <w:jc w:val="both"/>
        <w:rPr>
          <w:rFonts w:cstheme="minorHAnsi"/>
        </w:rPr>
      </w:pPr>
      <w:r>
        <w:rPr>
          <w:rFonts w:cstheme="minorHAnsi"/>
        </w:rPr>
        <w:t>P</w:t>
      </w:r>
      <w:r w:rsidR="00063F8F" w:rsidRPr="00741F1A">
        <w:rPr>
          <w:rFonts w:cstheme="minorHAnsi"/>
        </w:rPr>
        <w:t>ovećanj</w:t>
      </w:r>
      <w:r>
        <w:rPr>
          <w:rFonts w:cstheme="minorHAnsi"/>
        </w:rPr>
        <w:t>e</w:t>
      </w:r>
      <w:r w:rsidR="00063F8F" w:rsidRPr="00741F1A">
        <w:rPr>
          <w:rFonts w:cstheme="minorHAnsi"/>
        </w:rPr>
        <w:t xml:space="preserve"> ukupnih prihoda </w:t>
      </w:r>
      <w:r>
        <w:rPr>
          <w:rFonts w:cstheme="minorHAnsi"/>
        </w:rPr>
        <w:t>za</w:t>
      </w:r>
      <w:r w:rsidR="00063F8F" w:rsidRPr="00741F1A">
        <w:rPr>
          <w:rFonts w:cstheme="minorHAnsi"/>
        </w:rPr>
        <w:t xml:space="preserve">  </w:t>
      </w:r>
      <w:r w:rsidR="00FE4130">
        <w:rPr>
          <w:rFonts w:cstheme="minorHAnsi"/>
        </w:rPr>
        <w:t xml:space="preserve">13,99 </w:t>
      </w:r>
      <w:r w:rsidR="00063F8F" w:rsidRPr="00741F1A">
        <w:rPr>
          <w:rFonts w:cstheme="minorHAnsi"/>
        </w:rPr>
        <w:t>%</w:t>
      </w:r>
      <w:r w:rsidR="00072D52" w:rsidRPr="00741F1A">
        <w:rPr>
          <w:rFonts w:cstheme="minorHAnsi"/>
        </w:rPr>
        <w:t>, a</w:t>
      </w:r>
      <w:r w:rsidR="00063F8F" w:rsidRPr="00741F1A">
        <w:rPr>
          <w:rFonts w:cstheme="minorHAnsi"/>
        </w:rPr>
        <w:t xml:space="preserve"> ukupnih rashoda </w:t>
      </w:r>
      <w:r>
        <w:rPr>
          <w:rFonts w:cstheme="minorHAnsi"/>
        </w:rPr>
        <w:t>za</w:t>
      </w:r>
      <w:r w:rsidR="00063F8F" w:rsidRPr="00741F1A">
        <w:rPr>
          <w:rFonts w:cstheme="minorHAnsi"/>
        </w:rPr>
        <w:t xml:space="preserve"> </w:t>
      </w:r>
      <w:r w:rsidR="00FE4130">
        <w:rPr>
          <w:rFonts w:cstheme="minorHAnsi"/>
        </w:rPr>
        <w:t>13,41</w:t>
      </w:r>
      <w:r w:rsidR="00072D52" w:rsidRPr="00741F1A">
        <w:rPr>
          <w:rFonts w:cstheme="minorHAnsi"/>
        </w:rPr>
        <w:t xml:space="preserve"> </w:t>
      </w:r>
      <w:r w:rsidR="00063F8F" w:rsidRPr="00741F1A">
        <w:rPr>
          <w:rFonts w:cstheme="minorHAnsi"/>
        </w:rPr>
        <w:t>%</w:t>
      </w:r>
      <w:r w:rsidR="00072D52" w:rsidRPr="00741F1A">
        <w:rPr>
          <w:rFonts w:cstheme="minorHAnsi"/>
        </w:rPr>
        <w:t xml:space="preserve"> rezult</w:t>
      </w:r>
      <w:r w:rsidR="005A258F">
        <w:rPr>
          <w:rFonts w:cstheme="minorHAnsi"/>
        </w:rPr>
        <w:t xml:space="preserve">iralo je sa ostvarenom </w:t>
      </w:r>
      <w:r w:rsidR="00072D52" w:rsidRPr="00741F1A">
        <w:rPr>
          <w:rFonts w:cstheme="minorHAnsi"/>
        </w:rPr>
        <w:t>dobit</w:t>
      </w:r>
      <w:r w:rsidR="005A258F">
        <w:rPr>
          <w:rFonts w:cstheme="minorHAnsi"/>
        </w:rPr>
        <w:t>i</w:t>
      </w:r>
      <w:r w:rsidR="00072D52" w:rsidRPr="00741F1A">
        <w:rPr>
          <w:rFonts w:cstheme="minorHAnsi"/>
        </w:rPr>
        <w:t xml:space="preserve"> </w:t>
      </w:r>
      <w:r w:rsidR="00752BD2">
        <w:rPr>
          <w:rFonts w:cstheme="minorHAnsi"/>
        </w:rPr>
        <w:t>prije</w:t>
      </w:r>
      <w:r w:rsidR="009909C3" w:rsidRPr="00741F1A">
        <w:rPr>
          <w:rFonts w:cstheme="minorHAnsi"/>
        </w:rPr>
        <w:t xml:space="preserve"> oporezivanja </w:t>
      </w:r>
      <w:r w:rsidR="00072D52" w:rsidRPr="00741F1A">
        <w:rPr>
          <w:rFonts w:cstheme="minorHAnsi"/>
        </w:rPr>
        <w:t xml:space="preserve">u iznosu od </w:t>
      </w:r>
      <w:r w:rsidR="00CF640A" w:rsidRPr="00CF640A">
        <w:rPr>
          <w:rFonts w:cstheme="minorHAnsi"/>
        </w:rPr>
        <w:t>98</w:t>
      </w:r>
      <w:r w:rsidR="00CF640A">
        <w:rPr>
          <w:rFonts w:cstheme="minorHAnsi"/>
        </w:rPr>
        <w:t>.</w:t>
      </w:r>
      <w:r w:rsidR="00CF640A" w:rsidRPr="00CF640A">
        <w:rPr>
          <w:rFonts w:cstheme="minorHAnsi"/>
        </w:rPr>
        <w:t xml:space="preserve">410,29 </w:t>
      </w:r>
      <w:r w:rsidR="009909C3" w:rsidRPr="00741F1A">
        <w:rPr>
          <w:rFonts w:cstheme="minorHAnsi"/>
        </w:rPr>
        <w:t>EUR</w:t>
      </w:r>
      <w:r w:rsidR="00063F8F" w:rsidRPr="00741F1A">
        <w:rPr>
          <w:rFonts w:cstheme="minorHAnsi"/>
        </w:rPr>
        <w:t xml:space="preserve">  .</w:t>
      </w:r>
    </w:p>
    <w:p w14:paraId="7671FED2" w14:textId="72FC2209" w:rsidR="00CC764B" w:rsidRDefault="00CC764B" w:rsidP="00CC764B">
      <w:pPr>
        <w:jc w:val="both"/>
        <w:rPr>
          <w:rFonts w:cstheme="minorHAnsi"/>
          <w:color w:val="000000" w:themeColor="text1"/>
        </w:rPr>
      </w:pPr>
      <w:r w:rsidRPr="00840AA8">
        <w:rPr>
          <w:rFonts w:cstheme="minorHAnsi"/>
          <w:color w:val="000000" w:themeColor="text1"/>
        </w:rPr>
        <w:t xml:space="preserve">Potrebno je napomenuti da je </w:t>
      </w:r>
      <w:r>
        <w:rPr>
          <w:rFonts w:cstheme="minorHAnsi"/>
          <w:color w:val="000000" w:themeColor="text1"/>
        </w:rPr>
        <w:t>prosincu</w:t>
      </w:r>
      <w:r w:rsidRPr="00840AA8">
        <w:rPr>
          <w:rFonts w:cstheme="minorHAnsi"/>
          <w:color w:val="000000" w:themeColor="text1"/>
        </w:rPr>
        <w:t xml:space="preserve"> 202</w:t>
      </w:r>
      <w:r>
        <w:rPr>
          <w:rFonts w:cstheme="minorHAnsi"/>
          <w:color w:val="000000" w:themeColor="text1"/>
        </w:rPr>
        <w:t>5</w:t>
      </w:r>
      <w:r w:rsidRPr="00840AA8">
        <w:rPr>
          <w:rFonts w:cstheme="minorHAnsi"/>
          <w:color w:val="000000" w:themeColor="text1"/>
        </w:rPr>
        <w:t>. godine potpisan Kolektivni ugovor sa Sindikatima</w:t>
      </w:r>
      <w:r>
        <w:rPr>
          <w:rFonts w:cstheme="minorHAnsi"/>
          <w:color w:val="000000" w:themeColor="text1"/>
        </w:rPr>
        <w:t xml:space="preserve"> u cilju unaprjeđenja materijalnih prava djelatnika.</w:t>
      </w:r>
    </w:p>
    <w:p w14:paraId="2415E153" w14:textId="77777777" w:rsidR="00CC764B" w:rsidRPr="00667106" w:rsidRDefault="00CC764B" w:rsidP="00E659DA">
      <w:pPr>
        <w:jc w:val="both"/>
        <w:rPr>
          <w:rFonts w:cstheme="minorHAnsi"/>
        </w:rPr>
      </w:pPr>
    </w:p>
    <w:p w14:paraId="196F4413" w14:textId="7DB3FD6B" w:rsidR="00693EB7" w:rsidRPr="00741F1A" w:rsidRDefault="00693EB7" w:rsidP="00E659DA">
      <w:pPr>
        <w:jc w:val="both"/>
        <w:rPr>
          <w:rFonts w:ascii="Arial" w:eastAsia="Times New Roman" w:hAnsi="Arial" w:cs="Arial"/>
          <w:b/>
          <w:bCs/>
        </w:rPr>
      </w:pPr>
      <w:r w:rsidRPr="00741F1A">
        <w:rPr>
          <w:rFonts w:ascii="Arial" w:hAnsi="Arial" w:cs="Arial"/>
        </w:rPr>
        <w:tab/>
      </w:r>
      <w:r w:rsidRPr="00741F1A">
        <w:rPr>
          <w:rFonts w:ascii="Arial" w:hAnsi="Arial" w:cs="Arial"/>
        </w:rPr>
        <w:tab/>
      </w:r>
      <w:r w:rsidRPr="00741F1A">
        <w:rPr>
          <w:rFonts w:ascii="Arial" w:eastAsia="Times New Roman" w:hAnsi="Arial" w:cs="Arial"/>
          <w:b/>
          <w:bCs/>
        </w:rPr>
        <w:t xml:space="preserve"> </w:t>
      </w:r>
    </w:p>
    <w:p w14:paraId="5C935774" w14:textId="6EA5EBBB" w:rsidR="00693EB7" w:rsidRPr="00741F1A" w:rsidRDefault="00693EB7" w:rsidP="00E659D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7005"/>
        </w:tabs>
        <w:jc w:val="both"/>
        <w:rPr>
          <w:rFonts w:eastAsia="Times New Roman" w:cstheme="minorHAnsi"/>
        </w:rPr>
      </w:pPr>
      <w:r w:rsidRPr="00741F1A">
        <w:rPr>
          <w:rFonts w:eastAsia="Times New Roman" w:cstheme="minorHAnsi"/>
        </w:rPr>
        <w:t>Trogir Holding d.o.o.</w:t>
      </w:r>
      <w:r w:rsidRPr="00741F1A">
        <w:rPr>
          <w:rFonts w:eastAsia="Times New Roman" w:cstheme="minorHAnsi"/>
        </w:rPr>
        <w:tab/>
      </w:r>
      <w:r w:rsidRPr="00741F1A">
        <w:rPr>
          <w:rFonts w:eastAsia="Times New Roman" w:cstheme="minorHAnsi"/>
        </w:rPr>
        <w:tab/>
      </w:r>
      <w:r w:rsidRPr="00741F1A">
        <w:rPr>
          <w:rFonts w:eastAsia="Times New Roman" w:cstheme="minorHAnsi"/>
        </w:rPr>
        <w:tab/>
        <w:t xml:space="preserve"> </w:t>
      </w:r>
      <w:r w:rsidRPr="00741F1A">
        <w:rPr>
          <w:rFonts w:eastAsia="Times New Roman" w:cstheme="minorHAnsi"/>
        </w:rPr>
        <w:tab/>
      </w:r>
    </w:p>
    <w:p w14:paraId="431CC3F2" w14:textId="26DA79E6" w:rsidR="00693EB7" w:rsidRPr="00741F1A" w:rsidRDefault="00693EB7" w:rsidP="00E659DA">
      <w:pPr>
        <w:jc w:val="both"/>
        <w:rPr>
          <w:rFonts w:eastAsia="Times New Roman" w:cstheme="minorHAnsi"/>
        </w:rPr>
      </w:pPr>
      <w:r w:rsidRPr="00741F1A">
        <w:rPr>
          <w:rFonts w:eastAsia="Times New Roman" w:cstheme="minorHAnsi"/>
        </w:rPr>
        <w:t xml:space="preserve">Predsjednik uprave:                                                          </w:t>
      </w:r>
    </w:p>
    <w:p w14:paraId="4196028A" w14:textId="43F7FD95" w:rsidR="00693EB7" w:rsidRPr="00741F1A" w:rsidRDefault="00693EB7" w:rsidP="00E659DA">
      <w:pPr>
        <w:jc w:val="both"/>
        <w:rPr>
          <w:rFonts w:eastAsia="Times New Roman" w:cstheme="minorHAnsi"/>
        </w:rPr>
      </w:pPr>
      <w:r w:rsidRPr="00741F1A">
        <w:rPr>
          <w:rFonts w:eastAsia="Times New Roman" w:cstheme="minorHAnsi"/>
        </w:rPr>
        <w:t>__________________________________</w:t>
      </w:r>
      <w:r w:rsidRPr="00741F1A">
        <w:rPr>
          <w:rFonts w:eastAsia="Times New Roman" w:cstheme="minorHAnsi"/>
        </w:rPr>
        <w:tab/>
      </w:r>
      <w:r w:rsidRPr="00741F1A">
        <w:rPr>
          <w:rFonts w:eastAsia="Times New Roman" w:cstheme="minorHAnsi"/>
        </w:rPr>
        <w:tab/>
        <w:t xml:space="preserve"> </w:t>
      </w:r>
    </w:p>
    <w:p w14:paraId="0366293A" w14:textId="6122DFA3" w:rsidR="00EF5228" w:rsidRPr="00741F1A" w:rsidRDefault="00693EB7" w:rsidP="00E659DA">
      <w:pPr>
        <w:jc w:val="both"/>
        <w:rPr>
          <w:rFonts w:cstheme="minorHAnsi"/>
        </w:rPr>
      </w:pPr>
      <w:r w:rsidRPr="00741F1A">
        <w:rPr>
          <w:rFonts w:eastAsia="Times New Roman" w:cstheme="minorHAnsi"/>
        </w:rPr>
        <w:t xml:space="preserve">Danijel Kukoč, dipl. </w:t>
      </w:r>
      <w:proofErr w:type="spellStart"/>
      <w:r w:rsidRPr="00741F1A">
        <w:rPr>
          <w:rFonts w:eastAsia="Times New Roman" w:cstheme="minorHAnsi"/>
        </w:rPr>
        <w:t>iur</w:t>
      </w:r>
      <w:proofErr w:type="spellEnd"/>
      <w:r w:rsidRPr="00741F1A">
        <w:rPr>
          <w:rFonts w:eastAsia="Times New Roman" w:cstheme="minorHAnsi"/>
        </w:rPr>
        <w:t xml:space="preserve">. </w:t>
      </w:r>
      <w:proofErr w:type="spellStart"/>
      <w:r w:rsidRPr="00741F1A">
        <w:rPr>
          <w:rFonts w:eastAsia="Times New Roman" w:cstheme="minorHAnsi"/>
        </w:rPr>
        <w:t>univ</w:t>
      </w:r>
      <w:proofErr w:type="spellEnd"/>
      <w:r w:rsidRPr="00741F1A">
        <w:rPr>
          <w:rFonts w:eastAsia="Times New Roman" w:cstheme="minorHAnsi"/>
        </w:rPr>
        <w:t xml:space="preserve">. </w:t>
      </w:r>
      <w:proofErr w:type="spellStart"/>
      <w:r w:rsidRPr="00741F1A">
        <w:rPr>
          <w:rFonts w:eastAsia="Times New Roman" w:cstheme="minorHAnsi"/>
        </w:rPr>
        <w:t>spec</w:t>
      </w:r>
      <w:proofErr w:type="spellEnd"/>
      <w:r w:rsidRPr="00741F1A">
        <w:rPr>
          <w:rFonts w:eastAsia="Times New Roman" w:cstheme="minorHAnsi"/>
        </w:rPr>
        <w:t>.</w:t>
      </w:r>
      <w:r w:rsidRPr="00741F1A">
        <w:rPr>
          <w:rFonts w:eastAsia="Times New Roman" w:cstheme="minorHAnsi"/>
          <w:b/>
          <w:bCs/>
        </w:rPr>
        <w:t xml:space="preserve"> </w:t>
      </w:r>
      <w:proofErr w:type="spellStart"/>
      <w:r w:rsidRPr="00741F1A">
        <w:rPr>
          <w:rFonts w:eastAsia="Times New Roman" w:cstheme="minorHAnsi"/>
        </w:rPr>
        <w:t>oec</w:t>
      </w:r>
      <w:proofErr w:type="spellEnd"/>
      <w:r w:rsidRPr="00741F1A">
        <w:rPr>
          <w:rFonts w:eastAsia="Times New Roman" w:cstheme="minorHAnsi"/>
        </w:rPr>
        <w:t xml:space="preserve">.  </w:t>
      </w:r>
    </w:p>
    <w:p w14:paraId="05001DCC" w14:textId="77777777" w:rsidR="0086057A" w:rsidRDefault="0086057A" w:rsidP="0086057A">
      <w:pPr>
        <w:spacing w:after="0"/>
      </w:pPr>
    </w:p>
    <w:p w14:paraId="7FFDBEA6" w14:textId="6E1A60CA" w:rsidR="00752BD2" w:rsidRDefault="00752BD2" w:rsidP="0086057A">
      <w:pPr>
        <w:spacing w:after="0"/>
      </w:pPr>
      <w:r>
        <w:t xml:space="preserve">KLASA: </w:t>
      </w:r>
      <w:r w:rsidR="007D01FD">
        <w:t>400-04/26-01/2</w:t>
      </w:r>
    </w:p>
    <w:p w14:paraId="4487E023" w14:textId="01978E97" w:rsidR="00752BD2" w:rsidRDefault="00752BD2" w:rsidP="0086057A">
      <w:pPr>
        <w:spacing w:after="0"/>
      </w:pPr>
      <w:r>
        <w:t xml:space="preserve">URBROJ: </w:t>
      </w:r>
      <w:r w:rsidR="007D01FD">
        <w:t>2181-13-5-01/004-26-1</w:t>
      </w:r>
    </w:p>
    <w:p w14:paraId="008AF4D9" w14:textId="71EB0CE1" w:rsidR="00693EB7" w:rsidRPr="00667106" w:rsidRDefault="00752BD2" w:rsidP="0086057A">
      <w:pPr>
        <w:spacing w:after="0"/>
      </w:pPr>
      <w:r w:rsidRPr="007D01FD">
        <w:t>Trogir,</w:t>
      </w:r>
      <w:r w:rsidR="007D01FD" w:rsidRPr="007D01FD">
        <w:t xml:space="preserve"> </w:t>
      </w:r>
      <w:r w:rsidR="00CF71A5">
        <w:t xml:space="preserve">15. lipnja </w:t>
      </w:r>
      <w:r w:rsidR="007D01FD" w:rsidRPr="007D01FD">
        <w:t>2026</w:t>
      </w:r>
      <w:r w:rsidR="007D01FD">
        <w:t>.</w:t>
      </w:r>
    </w:p>
    <w:sectPr w:rsidR="00693EB7" w:rsidRPr="00667106" w:rsidSect="00766CE4">
      <w:footerReference w:type="default" r:id="rId18"/>
      <w:pgSz w:w="11906" w:h="16838"/>
      <w:pgMar w:top="1417" w:right="1417" w:bottom="1417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B91DC1" w14:textId="77777777" w:rsidR="00A41CCB" w:rsidRDefault="00A41CCB" w:rsidP="009A568D">
      <w:pPr>
        <w:spacing w:after="0" w:line="240" w:lineRule="auto"/>
      </w:pPr>
      <w:r>
        <w:separator/>
      </w:r>
    </w:p>
  </w:endnote>
  <w:endnote w:type="continuationSeparator" w:id="0">
    <w:p w14:paraId="3553C1AE" w14:textId="77777777" w:rsidR="00A41CCB" w:rsidRDefault="00A41CCB" w:rsidP="009A56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3142440"/>
      <w:docPartObj>
        <w:docPartGallery w:val="Page Numbers (Bottom of Page)"/>
        <w:docPartUnique/>
      </w:docPartObj>
    </w:sdtPr>
    <w:sdtEndPr/>
    <w:sdtContent>
      <w:p w14:paraId="5D2DC5A5" w14:textId="5F16B2FA" w:rsidR="009A568D" w:rsidRDefault="009A568D">
        <w:pPr>
          <w:pStyle w:val="Podnoj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8848C2" w14:textId="77777777" w:rsidR="009A568D" w:rsidRDefault="009A568D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D322FF" w14:textId="77777777" w:rsidR="00A41CCB" w:rsidRDefault="00A41CCB" w:rsidP="009A568D">
      <w:pPr>
        <w:spacing w:after="0" w:line="240" w:lineRule="auto"/>
      </w:pPr>
      <w:r>
        <w:separator/>
      </w:r>
    </w:p>
  </w:footnote>
  <w:footnote w:type="continuationSeparator" w:id="0">
    <w:p w14:paraId="6B725EE4" w14:textId="77777777" w:rsidR="00A41CCB" w:rsidRDefault="00A41CCB" w:rsidP="009A56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7485B"/>
    <w:multiLevelType w:val="hybridMultilevel"/>
    <w:tmpl w:val="E79E6090"/>
    <w:lvl w:ilvl="0" w:tplc="C4928ABC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74437"/>
    <w:multiLevelType w:val="hybridMultilevel"/>
    <w:tmpl w:val="537E646E"/>
    <w:lvl w:ilvl="0" w:tplc="E15AE24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9E783E"/>
    <w:multiLevelType w:val="hybridMultilevel"/>
    <w:tmpl w:val="6906A1EA"/>
    <w:lvl w:ilvl="0" w:tplc="C0447E9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270E0B"/>
    <w:multiLevelType w:val="hybridMultilevel"/>
    <w:tmpl w:val="E872F3FE"/>
    <w:lvl w:ilvl="0" w:tplc="125CBDB2">
      <w:numFmt w:val="bullet"/>
      <w:lvlText w:val=""/>
      <w:lvlJc w:val="left"/>
      <w:pPr>
        <w:ind w:left="1696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DC183642">
      <w:numFmt w:val="bullet"/>
      <w:lvlText w:val="•"/>
      <w:lvlJc w:val="left"/>
      <w:pPr>
        <w:ind w:left="2632" w:hanging="360"/>
      </w:pPr>
      <w:rPr>
        <w:rFonts w:hint="default"/>
        <w:lang w:val="bs" w:eastAsia="en-US" w:bidi="ar-SA"/>
      </w:rPr>
    </w:lvl>
    <w:lvl w:ilvl="2" w:tplc="F3B28D30">
      <w:numFmt w:val="bullet"/>
      <w:lvlText w:val="•"/>
      <w:lvlJc w:val="left"/>
      <w:pPr>
        <w:ind w:left="3565" w:hanging="360"/>
      </w:pPr>
      <w:rPr>
        <w:rFonts w:hint="default"/>
        <w:lang w:val="bs" w:eastAsia="en-US" w:bidi="ar-SA"/>
      </w:rPr>
    </w:lvl>
    <w:lvl w:ilvl="3" w:tplc="CB309A88">
      <w:numFmt w:val="bullet"/>
      <w:lvlText w:val="•"/>
      <w:lvlJc w:val="left"/>
      <w:pPr>
        <w:ind w:left="4497" w:hanging="360"/>
      </w:pPr>
      <w:rPr>
        <w:rFonts w:hint="default"/>
        <w:lang w:val="bs" w:eastAsia="en-US" w:bidi="ar-SA"/>
      </w:rPr>
    </w:lvl>
    <w:lvl w:ilvl="4" w:tplc="C680A056">
      <w:numFmt w:val="bullet"/>
      <w:lvlText w:val="•"/>
      <w:lvlJc w:val="left"/>
      <w:pPr>
        <w:ind w:left="5430" w:hanging="360"/>
      </w:pPr>
      <w:rPr>
        <w:rFonts w:hint="default"/>
        <w:lang w:val="bs" w:eastAsia="en-US" w:bidi="ar-SA"/>
      </w:rPr>
    </w:lvl>
    <w:lvl w:ilvl="5" w:tplc="7450A47A">
      <w:numFmt w:val="bullet"/>
      <w:lvlText w:val="•"/>
      <w:lvlJc w:val="left"/>
      <w:pPr>
        <w:ind w:left="6363" w:hanging="360"/>
      </w:pPr>
      <w:rPr>
        <w:rFonts w:hint="default"/>
        <w:lang w:val="bs" w:eastAsia="en-US" w:bidi="ar-SA"/>
      </w:rPr>
    </w:lvl>
    <w:lvl w:ilvl="6" w:tplc="8A2C1DAE">
      <w:numFmt w:val="bullet"/>
      <w:lvlText w:val="•"/>
      <w:lvlJc w:val="left"/>
      <w:pPr>
        <w:ind w:left="7295" w:hanging="360"/>
      </w:pPr>
      <w:rPr>
        <w:rFonts w:hint="default"/>
        <w:lang w:val="bs" w:eastAsia="en-US" w:bidi="ar-SA"/>
      </w:rPr>
    </w:lvl>
    <w:lvl w:ilvl="7" w:tplc="0E3A0EEC">
      <w:numFmt w:val="bullet"/>
      <w:lvlText w:val="•"/>
      <w:lvlJc w:val="left"/>
      <w:pPr>
        <w:ind w:left="8228" w:hanging="360"/>
      </w:pPr>
      <w:rPr>
        <w:rFonts w:hint="default"/>
        <w:lang w:val="bs" w:eastAsia="en-US" w:bidi="ar-SA"/>
      </w:rPr>
    </w:lvl>
    <w:lvl w:ilvl="8" w:tplc="D4708E42">
      <w:numFmt w:val="bullet"/>
      <w:lvlText w:val="•"/>
      <w:lvlJc w:val="left"/>
      <w:pPr>
        <w:ind w:left="9161" w:hanging="360"/>
      </w:pPr>
      <w:rPr>
        <w:rFonts w:hint="default"/>
        <w:lang w:val="bs" w:eastAsia="en-US" w:bidi="ar-SA"/>
      </w:rPr>
    </w:lvl>
  </w:abstractNum>
  <w:abstractNum w:abstractNumId="4" w15:restartNumberingAfterBreak="0">
    <w:nsid w:val="08985AD1"/>
    <w:multiLevelType w:val="hybridMultilevel"/>
    <w:tmpl w:val="98300A5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B2E07A0"/>
    <w:multiLevelType w:val="hybridMultilevel"/>
    <w:tmpl w:val="8FBA53B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CBC35EA"/>
    <w:multiLevelType w:val="hybridMultilevel"/>
    <w:tmpl w:val="5B288C30"/>
    <w:lvl w:ilvl="0" w:tplc="F0D83E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D273061"/>
    <w:multiLevelType w:val="hybridMultilevel"/>
    <w:tmpl w:val="71B4946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447AFA"/>
    <w:multiLevelType w:val="hybridMultilevel"/>
    <w:tmpl w:val="DDD23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27547"/>
    <w:multiLevelType w:val="hybridMultilevel"/>
    <w:tmpl w:val="989045DC"/>
    <w:lvl w:ilvl="0" w:tplc="1F380EC0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42C632C8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A3D4ACA2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470867A0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DCC6235C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D0CEF776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ED4E63E6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EF7E3FB6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90B855A4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abstractNum w:abstractNumId="10" w15:restartNumberingAfterBreak="0">
    <w:nsid w:val="177235E5"/>
    <w:multiLevelType w:val="hybridMultilevel"/>
    <w:tmpl w:val="DDD23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E4658A"/>
    <w:multiLevelType w:val="hybridMultilevel"/>
    <w:tmpl w:val="5C1E709A"/>
    <w:lvl w:ilvl="0" w:tplc="585AFD44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bs" w:eastAsia="en-US" w:bidi="ar-SA"/>
      </w:rPr>
    </w:lvl>
    <w:lvl w:ilvl="1" w:tplc="CDDADA76">
      <w:numFmt w:val="bullet"/>
      <w:lvlText w:val="•"/>
      <w:lvlJc w:val="left"/>
      <w:pPr>
        <w:ind w:left="1686" w:hanging="360"/>
      </w:pPr>
      <w:rPr>
        <w:rFonts w:hint="default"/>
        <w:lang w:val="bs" w:eastAsia="en-US" w:bidi="ar-SA"/>
      </w:rPr>
    </w:lvl>
    <w:lvl w:ilvl="2" w:tplc="954E462A">
      <w:numFmt w:val="bullet"/>
      <w:lvlText w:val="•"/>
      <w:lvlJc w:val="left"/>
      <w:pPr>
        <w:ind w:left="2533" w:hanging="360"/>
      </w:pPr>
      <w:rPr>
        <w:rFonts w:hint="default"/>
        <w:lang w:val="bs" w:eastAsia="en-US" w:bidi="ar-SA"/>
      </w:rPr>
    </w:lvl>
    <w:lvl w:ilvl="3" w:tplc="29702064">
      <w:numFmt w:val="bullet"/>
      <w:lvlText w:val="•"/>
      <w:lvlJc w:val="left"/>
      <w:pPr>
        <w:ind w:left="3379" w:hanging="360"/>
      </w:pPr>
      <w:rPr>
        <w:rFonts w:hint="default"/>
        <w:lang w:val="bs" w:eastAsia="en-US" w:bidi="ar-SA"/>
      </w:rPr>
    </w:lvl>
    <w:lvl w:ilvl="4" w:tplc="EB62CB64">
      <w:numFmt w:val="bullet"/>
      <w:lvlText w:val="•"/>
      <w:lvlJc w:val="left"/>
      <w:pPr>
        <w:ind w:left="4226" w:hanging="360"/>
      </w:pPr>
      <w:rPr>
        <w:rFonts w:hint="default"/>
        <w:lang w:val="bs" w:eastAsia="en-US" w:bidi="ar-SA"/>
      </w:rPr>
    </w:lvl>
    <w:lvl w:ilvl="5" w:tplc="6E6459BE">
      <w:numFmt w:val="bullet"/>
      <w:lvlText w:val="•"/>
      <w:lvlJc w:val="left"/>
      <w:pPr>
        <w:ind w:left="5073" w:hanging="360"/>
      </w:pPr>
      <w:rPr>
        <w:rFonts w:hint="default"/>
        <w:lang w:val="bs" w:eastAsia="en-US" w:bidi="ar-SA"/>
      </w:rPr>
    </w:lvl>
    <w:lvl w:ilvl="6" w:tplc="3A7892EE">
      <w:numFmt w:val="bullet"/>
      <w:lvlText w:val="•"/>
      <w:lvlJc w:val="left"/>
      <w:pPr>
        <w:ind w:left="5919" w:hanging="360"/>
      </w:pPr>
      <w:rPr>
        <w:rFonts w:hint="default"/>
        <w:lang w:val="bs" w:eastAsia="en-US" w:bidi="ar-SA"/>
      </w:rPr>
    </w:lvl>
    <w:lvl w:ilvl="7" w:tplc="3BA6B4E8">
      <w:numFmt w:val="bullet"/>
      <w:lvlText w:val="•"/>
      <w:lvlJc w:val="left"/>
      <w:pPr>
        <w:ind w:left="6766" w:hanging="360"/>
      </w:pPr>
      <w:rPr>
        <w:rFonts w:hint="default"/>
        <w:lang w:val="bs" w:eastAsia="en-US" w:bidi="ar-SA"/>
      </w:rPr>
    </w:lvl>
    <w:lvl w:ilvl="8" w:tplc="CCC2E73E">
      <w:numFmt w:val="bullet"/>
      <w:lvlText w:val="•"/>
      <w:lvlJc w:val="left"/>
      <w:pPr>
        <w:ind w:left="7613" w:hanging="360"/>
      </w:pPr>
      <w:rPr>
        <w:rFonts w:hint="default"/>
        <w:lang w:val="bs" w:eastAsia="en-US" w:bidi="ar-SA"/>
      </w:rPr>
    </w:lvl>
  </w:abstractNum>
  <w:abstractNum w:abstractNumId="12" w15:restartNumberingAfterBreak="0">
    <w:nsid w:val="20B62D7F"/>
    <w:multiLevelType w:val="hybridMultilevel"/>
    <w:tmpl w:val="299CAF16"/>
    <w:lvl w:ilvl="0" w:tplc="B37297E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745E6E"/>
    <w:multiLevelType w:val="hybridMultilevel"/>
    <w:tmpl w:val="000E9660"/>
    <w:lvl w:ilvl="0" w:tplc="A29E108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801A16"/>
    <w:multiLevelType w:val="hybridMultilevel"/>
    <w:tmpl w:val="38CEA5A6"/>
    <w:lvl w:ilvl="0" w:tplc="92C8746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8C5B34"/>
    <w:multiLevelType w:val="hybridMultilevel"/>
    <w:tmpl w:val="4AF2BED8"/>
    <w:lvl w:ilvl="0" w:tplc="F81263B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55737D5"/>
    <w:multiLevelType w:val="hybridMultilevel"/>
    <w:tmpl w:val="C7104180"/>
    <w:lvl w:ilvl="0" w:tplc="8CD2BEC2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4E26FF"/>
    <w:multiLevelType w:val="hybridMultilevel"/>
    <w:tmpl w:val="A7D04610"/>
    <w:lvl w:ilvl="0" w:tplc="F6EC72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19B7A6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B506670"/>
    <w:multiLevelType w:val="hybridMultilevel"/>
    <w:tmpl w:val="9E58316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154307A"/>
    <w:multiLevelType w:val="hybridMultilevel"/>
    <w:tmpl w:val="36D29DA6"/>
    <w:lvl w:ilvl="0" w:tplc="496898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DF45D6"/>
    <w:multiLevelType w:val="hybridMultilevel"/>
    <w:tmpl w:val="DDD23C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0964C0"/>
    <w:multiLevelType w:val="hybridMultilevel"/>
    <w:tmpl w:val="D902AA0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54206E"/>
    <w:multiLevelType w:val="hybridMultilevel"/>
    <w:tmpl w:val="B3C4F3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6F0737"/>
    <w:multiLevelType w:val="hybridMultilevel"/>
    <w:tmpl w:val="DDD23C8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670FA"/>
    <w:multiLevelType w:val="hybridMultilevel"/>
    <w:tmpl w:val="7038AFE8"/>
    <w:lvl w:ilvl="0" w:tplc="77CE97BC">
      <w:start w:val="1"/>
      <w:numFmt w:val="upperRoman"/>
      <w:lvlText w:val="%1."/>
      <w:lvlJc w:val="left"/>
      <w:pPr>
        <w:ind w:left="142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6" w15:restartNumberingAfterBreak="0">
    <w:nsid w:val="4D0C7A2A"/>
    <w:multiLevelType w:val="hybridMultilevel"/>
    <w:tmpl w:val="D53E335A"/>
    <w:lvl w:ilvl="0" w:tplc="CCF8E6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EA479CE"/>
    <w:multiLevelType w:val="hybridMultilevel"/>
    <w:tmpl w:val="3BE2E0BE"/>
    <w:lvl w:ilvl="0" w:tplc="2312DF04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25" w:hanging="360"/>
      </w:pPr>
    </w:lvl>
    <w:lvl w:ilvl="2" w:tplc="041A001B" w:tentative="1">
      <w:start w:val="1"/>
      <w:numFmt w:val="lowerRoman"/>
      <w:lvlText w:val="%3."/>
      <w:lvlJc w:val="right"/>
      <w:pPr>
        <w:ind w:left="1845" w:hanging="180"/>
      </w:pPr>
    </w:lvl>
    <w:lvl w:ilvl="3" w:tplc="041A000F" w:tentative="1">
      <w:start w:val="1"/>
      <w:numFmt w:val="decimal"/>
      <w:lvlText w:val="%4."/>
      <w:lvlJc w:val="left"/>
      <w:pPr>
        <w:ind w:left="2565" w:hanging="360"/>
      </w:pPr>
    </w:lvl>
    <w:lvl w:ilvl="4" w:tplc="041A0019" w:tentative="1">
      <w:start w:val="1"/>
      <w:numFmt w:val="lowerLetter"/>
      <w:lvlText w:val="%5."/>
      <w:lvlJc w:val="left"/>
      <w:pPr>
        <w:ind w:left="3285" w:hanging="360"/>
      </w:pPr>
    </w:lvl>
    <w:lvl w:ilvl="5" w:tplc="041A001B" w:tentative="1">
      <w:start w:val="1"/>
      <w:numFmt w:val="lowerRoman"/>
      <w:lvlText w:val="%6."/>
      <w:lvlJc w:val="right"/>
      <w:pPr>
        <w:ind w:left="4005" w:hanging="180"/>
      </w:pPr>
    </w:lvl>
    <w:lvl w:ilvl="6" w:tplc="041A000F" w:tentative="1">
      <w:start w:val="1"/>
      <w:numFmt w:val="decimal"/>
      <w:lvlText w:val="%7."/>
      <w:lvlJc w:val="left"/>
      <w:pPr>
        <w:ind w:left="4725" w:hanging="360"/>
      </w:pPr>
    </w:lvl>
    <w:lvl w:ilvl="7" w:tplc="041A0019" w:tentative="1">
      <w:start w:val="1"/>
      <w:numFmt w:val="lowerLetter"/>
      <w:lvlText w:val="%8."/>
      <w:lvlJc w:val="left"/>
      <w:pPr>
        <w:ind w:left="5445" w:hanging="360"/>
      </w:pPr>
    </w:lvl>
    <w:lvl w:ilvl="8" w:tplc="041A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8" w15:restartNumberingAfterBreak="0">
    <w:nsid w:val="613566F2"/>
    <w:multiLevelType w:val="hybridMultilevel"/>
    <w:tmpl w:val="5DDC31DA"/>
    <w:lvl w:ilvl="0" w:tplc="C5E0DAE0">
      <w:start w:val="1"/>
      <w:numFmt w:val="upperRoman"/>
      <w:lvlText w:val="%1."/>
      <w:lvlJc w:val="left"/>
      <w:pPr>
        <w:ind w:left="1080" w:hanging="720"/>
      </w:pPr>
      <w:rPr>
        <w:rFonts w:asciiTheme="minorHAnsi" w:hAnsiTheme="minorHAnsi" w:cstheme="minorBidi"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370CE"/>
    <w:multiLevelType w:val="hybridMultilevel"/>
    <w:tmpl w:val="FFFFFFFF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6F48792F"/>
    <w:multiLevelType w:val="hybridMultilevel"/>
    <w:tmpl w:val="366E7DDE"/>
    <w:lvl w:ilvl="0" w:tplc="577A58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D179CA"/>
    <w:multiLevelType w:val="hybridMultilevel"/>
    <w:tmpl w:val="5C1E680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67264B"/>
    <w:multiLevelType w:val="hybridMultilevel"/>
    <w:tmpl w:val="5ACEF954"/>
    <w:lvl w:ilvl="0" w:tplc="4380D664">
      <w:start w:val="1"/>
      <w:numFmt w:val="upperRoman"/>
      <w:lvlText w:val="%1."/>
      <w:lvlJc w:val="left"/>
      <w:pPr>
        <w:ind w:left="2145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05" w:hanging="360"/>
      </w:pPr>
    </w:lvl>
    <w:lvl w:ilvl="2" w:tplc="041A001B" w:tentative="1">
      <w:start w:val="1"/>
      <w:numFmt w:val="lowerRoman"/>
      <w:lvlText w:val="%3."/>
      <w:lvlJc w:val="right"/>
      <w:pPr>
        <w:ind w:left="3225" w:hanging="180"/>
      </w:pPr>
    </w:lvl>
    <w:lvl w:ilvl="3" w:tplc="041A000F" w:tentative="1">
      <w:start w:val="1"/>
      <w:numFmt w:val="decimal"/>
      <w:lvlText w:val="%4."/>
      <w:lvlJc w:val="left"/>
      <w:pPr>
        <w:ind w:left="3945" w:hanging="360"/>
      </w:pPr>
    </w:lvl>
    <w:lvl w:ilvl="4" w:tplc="041A0019" w:tentative="1">
      <w:start w:val="1"/>
      <w:numFmt w:val="lowerLetter"/>
      <w:lvlText w:val="%5."/>
      <w:lvlJc w:val="left"/>
      <w:pPr>
        <w:ind w:left="4665" w:hanging="360"/>
      </w:pPr>
    </w:lvl>
    <w:lvl w:ilvl="5" w:tplc="041A001B" w:tentative="1">
      <w:start w:val="1"/>
      <w:numFmt w:val="lowerRoman"/>
      <w:lvlText w:val="%6."/>
      <w:lvlJc w:val="right"/>
      <w:pPr>
        <w:ind w:left="5385" w:hanging="180"/>
      </w:pPr>
    </w:lvl>
    <w:lvl w:ilvl="6" w:tplc="041A000F" w:tentative="1">
      <w:start w:val="1"/>
      <w:numFmt w:val="decimal"/>
      <w:lvlText w:val="%7."/>
      <w:lvlJc w:val="left"/>
      <w:pPr>
        <w:ind w:left="6105" w:hanging="360"/>
      </w:pPr>
    </w:lvl>
    <w:lvl w:ilvl="7" w:tplc="041A0019" w:tentative="1">
      <w:start w:val="1"/>
      <w:numFmt w:val="lowerLetter"/>
      <w:lvlText w:val="%8."/>
      <w:lvlJc w:val="left"/>
      <w:pPr>
        <w:ind w:left="6825" w:hanging="360"/>
      </w:pPr>
    </w:lvl>
    <w:lvl w:ilvl="8" w:tplc="041A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33" w15:restartNumberingAfterBreak="0">
    <w:nsid w:val="7EF7F07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864055615">
    <w:abstractNumId w:val="3"/>
  </w:num>
  <w:num w:numId="2" w16cid:durableId="122121018">
    <w:abstractNumId w:val="33"/>
  </w:num>
  <w:num w:numId="3" w16cid:durableId="1494226607">
    <w:abstractNumId w:val="18"/>
  </w:num>
  <w:num w:numId="4" w16cid:durableId="1865903115">
    <w:abstractNumId w:val="23"/>
  </w:num>
  <w:num w:numId="5" w16cid:durableId="789516497">
    <w:abstractNumId w:val="19"/>
  </w:num>
  <w:num w:numId="6" w16cid:durableId="452141288">
    <w:abstractNumId w:val="21"/>
  </w:num>
  <w:num w:numId="7" w16cid:durableId="721707769">
    <w:abstractNumId w:val="31"/>
  </w:num>
  <w:num w:numId="8" w16cid:durableId="29503553">
    <w:abstractNumId w:val="2"/>
  </w:num>
  <w:num w:numId="9" w16cid:durableId="1399938314">
    <w:abstractNumId w:val="0"/>
  </w:num>
  <w:num w:numId="10" w16cid:durableId="764883137">
    <w:abstractNumId w:val="27"/>
  </w:num>
  <w:num w:numId="11" w16cid:durableId="347365043">
    <w:abstractNumId w:val="32"/>
  </w:num>
  <w:num w:numId="12" w16cid:durableId="423460473">
    <w:abstractNumId w:val="14"/>
  </w:num>
  <w:num w:numId="13" w16cid:durableId="1293750762">
    <w:abstractNumId w:val="6"/>
  </w:num>
  <w:num w:numId="14" w16cid:durableId="1837842474">
    <w:abstractNumId w:val="13"/>
  </w:num>
  <w:num w:numId="15" w16cid:durableId="1430157380">
    <w:abstractNumId w:val="20"/>
  </w:num>
  <w:num w:numId="16" w16cid:durableId="366612698">
    <w:abstractNumId w:val="30"/>
  </w:num>
  <w:num w:numId="17" w16cid:durableId="1399523180">
    <w:abstractNumId w:val="17"/>
  </w:num>
  <w:num w:numId="18" w16cid:durableId="1299459714">
    <w:abstractNumId w:val="26"/>
  </w:num>
  <w:num w:numId="19" w16cid:durableId="607391841">
    <w:abstractNumId w:val="9"/>
  </w:num>
  <w:num w:numId="20" w16cid:durableId="1254584003">
    <w:abstractNumId w:val="11"/>
  </w:num>
  <w:num w:numId="21" w16cid:durableId="1860729296">
    <w:abstractNumId w:val="24"/>
  </w:num>
  <w:num w:numId="22" w16cid:durableId="201943645">
    <w:abstractNumId w:val="8"/>
  </w:num>
  <w:num w:numId="23" w16cid:durableId="1361007408">
    <w:abstractNumId w:val="10"/>
  </w:num>
  <w:num w:numId="24" w16cid:durableId="360395614">
    <w:abstractNumId w:val="12"/>
  </w:num>
  <w:num w:numId="25" w16cid:durableId="1167794023">
    <w:abstractNumId w:val="7"/>
  </w:num>
  <w:num w:numId="26" w16cid:durableId="2059545170">
    <w:abstractNumId w:val="22"/>
  </w:num>
  <w:num w:numId="27" w16cid:durableId="891575202">
    <w:abstractNumId w:val="1"/>
  </w:num>
  <w:num w:numId="28" w16cid:durableId="327028261">
    <w:abstractNumId w:val="28"/>
  </w:num>
  <w:num w:numId="29" w16cid:durableId="448429634">
    <w:abstractNumId w:val="25"/>
  </w:num>
  <w:num w:numId="30" w16cid:durableId="1111704820">
    <w:abstractNumId w:val="15"/>
  </w:num>
  <w:num w:numId="31" w16cid:durableId="2107194706">
    <w:abstractNumId w:val="16"/>
  </w:num>
  <w:num w:numId="32" w16cid:durableId="2014992563">
    <w:abstractNumId w:val="29"/>
  </w:num>
  <w:num w:numId="33" w16cid:durableId="2003199506">
    <w:abstractNumId w:val="4"/>
  </w:num>
  <w:num w:numId="34" w16cid:durableId="26734998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2EE"/>
    <w:rsid w:val="0004336D"/>
    <w:rsid w:val="00054FB9"/>
    <w:rsid w:val="00057F70"/>
    <w:rsid w:val="00063968"/>
    <w:rsid w:val="00063F8F"/>
    <w:rsid w:val="00072D52"/>
    <w:rsid w:val="000771BE"/>
    <w:rsid w:val="00081CDA"/>
    <w:rsid w:val="0009140E"/>
    <w:rsid w:val="000919EE"/>
    <w:rsid w:val="0009388E"/>
    <w:rsid w:val="000B206B"/>
    <w:rsid w:val="000B2EAF"/>
    <w:rsid w:val="000B553F"/>
    <w:rsid w:val="000C121B"/>
    <w:rsid w:val="000C1FC6"/>
    <w:rsid w:val="000C4565"/>
    <w:rsid w:val="000D027E"/>
    <w:rsid w:val="000E03C3"/>
    <w:rsid w:val="000E23F0"/>
    <w:rsid w:val="000E25E0"/>
    <w:rsid w:val="000E44FC"/>
    <w:rsid w:val="000F1941"/>
    <w:rsid w:val="000F733C"/>
    <w:rsid w:val="00101D55"/>
    <w:rsid w:val="00107ACA"/>
    <w:rsid w:val="00112353"/>
    <w:rsid w:val="00113DCA"/>
    <w:rsid w:val="0012058C"/>
    <w:rsid w:val="00124DD6"/>
    <w:rsid w:val="00127520"/>
    <w:rsid w:val="0013113F"/>
    <w:rsid w:val="001315A3"/>
    <w:rsid w:val="00131A88"/>
    <w:rsid w:val="00134E58"/>
    <w:rsid w:val="00141307"/>
    <w:rsid w:val="00141E43"/>
    <w:rsid w:val="00143F97"/>
    <w:rsid w:val="00157CBC"/>
    <w:rsid w:val="00172DD8"/>
    <w:rsid w:val="00174B08"/>
    <w:rsid w:val="00177A5E"/>
    <w:rsid w:val="001853C1"/>
    <w:rsid w:val="0018737A"/>
    <w:rsid w:val="001B318E"/>
    <w:rsid w:val="001B48CF"/>
    <w:rsid w:val="001C1648"/>
    <w:rsid w:val="001C4A46"/>
    <w:rsid w:val="001C67D3"/>
    <w:rsid w:val="001C7C78"/>
    <w:rsid w:val="001D5C83"/>
    <w:rsid w:val="001E1237"/>
    <w:rsid w:val="001E321C"/>
    <w:rsid w:val="001E44C1"/>
    <w:rsid w:val="001F15AE"/>
    <w:rsid w:val="001F288F"/>
    <w:rsid w:val="00201294"/>
    <w:rsid w:val="00203A85"/>
    <w:rsid w:val="00203FAE"/>
    <w:rsid w:val="00210672"/>
    <w:rsid w:val="0021765C"/>
    <w:rsid w:val="00222071"/>
    <w:rsid w:val="00223773"/>
    <w:rsid w:val="002253D0"/>
    <w:rsid w:val="002273E5"/>
    <w:rsid w:val="00233983"/>
    <w:rsid w:val="00235D36"/>
    <w:rsid w:val="0024498C"/>
    <w:rsid w:val="00250807"/>
    <w:rsid w:val="0025088E"/>
    <w:rsid w:val="00260A21"/>
    <w:rsid w:val="002661AE"/>
    <w:rsid w:val="0028219D"/>
    <w:rsid w:val="00285D7C"/>
    <w:rsid w:val="0029017D"/>
    <w:rsid w:val="00294CBA"/>
    <w:rsid w:val="002A006B"/>
    <w:rsid w:val="002C0526"/>
    <w:rsid w:val="002C1A75"/>
    <w:rsid w:val="002C78CD"/>
    <w:rsid w:val="002D1EFB"/>
    <w:rsid w:val="002D2240"/>
    <w:rsid w:val="002D317A"/>
    <w:rsid w:val="002D55EB"/>
    <w:rsid w:val="002E3191"/>
    <w:rsid w:val="002E533F"/>
    <w:rsid w:val="002E5405"/>
    <w:rsid w:val="002F030E"/>
    <w:rsid w:val="002F6027"/>
    <w:rsid w:val="00302B01"/>
    <w:rsid w:val="00311F9A"/>
    <w:rsid w:val="00314D71"/>
    <w:rsid w:val="00314D98"/>
    <w:rsid w:val="00315711"/>
    <w:rsid w:val="003163C4"/>
    <w:rsid w:val="00316AA5"/>
    <w:rsid w:val="00316EEF"/>
    <w:rsid w:val="00317692"/>
    <w:rsid w:val="0032206F"/>
    <w:rsid w:val="00323B36"/>
    <w:rsid w:val="003268C9"/>
    <w:rsid w:val="00331C00"/>
    <w:rsid w:val="0033472C"/>
    <w:rsid w:val="00334C50"/>
    <w:rsid w:val="00342BB0"/>
    <w:rsid w:val="00344C39"/>
    <w:rsid w:val="00351833"/>
    <w:rsid w:val="00351853"/>
    <w:rsid w:val="003728C3"/>
    <w:rsid w:val="0037328B"/>
    <w:rsid w:val="00377AEA"/>
    <w:rsid w:val="003830E9"/>
    <w:rsid w:val="00387186"/>
    <w:rsid w:val="0039189F"/>
    <w:rsid w:val="0039317B"/>
    <w:rsid w:val="003949D2"/>
    <w:rsid w:val="0039650D"/>
    <w:rsid w:val="003A16F5"/>
    <w:rsid w:val="003A3349"/>
    <w:rsid w:val="003A6347"/>
    <w:rsid w:val="003B0422"/>
    <w:rsid w:val="003B46B0"/>
    <w:rsid w:val="003B59AD"/>
    <w:rsid w:val="003B6C62"/>
    <w:rsid w:val="003C3469"/>
    <w:rsid w:val="003D0466"/>
    <w:rsid w:val="003D3DF1"/>
    <w:rsid w:val="003E1453"/>
    <w:rsid w:val="003E32FF"/>
    <w:rsid w:val="003E5FE4"/>
    <w:rsid w:val="003E72C1"/>
    <w:rsid w:val="003F34E7"/>
    <w:rsid w:val="003F5971"/>
    <w:rsid w:val="00401516"/>
    <w:rsid w:val="00403917"/>
    <w:rsid w:val="00425ABA"/>
    <w:rsid w:val="00425E0F"/>
    <w:rsid w:val="004307F9"/>
    <w:rsid w:val="004441B9"/>
    <w:rsid w:val="00466072"/>
    <w:rsid w:val="00471A28"/>
    <w:rsid w:val="00471C2C"/>
    <w:rsid w:val="00473AE9"/>
    <w:rsid w:val="00483C46"/>
    <w:rsid w:val="004937FD"/>
    <w:rsid w:val="00496892"/>
    <w:rsid w:val="004A4873"/>
    <w:rsid w:val="004D689A"/>
    <w:rsid w:val="004E001D"/>
    <w:rsid w:val="004E05C1"/>
    <w:rsid w:val="004F43B2"/>
    <w:rsid w:val="004F586A"/>
    <w:rsid w:val="005151C6"/>
    <w:rsid w:val="00517C50"/>
    <w:rsid w:val="00520D1B"/>
    <w:rsid w:val="00536063"/>
    <w:rsid w:val="00542ABB"/>
    <w:rsid w:val="00544D25"/>
    <w:rsid w:val="005520C3"/>
    <w:rsid w:val="0056401A"/>
    <w:rsid w:val="00565FF5"/>
    <w:rsid w:val="00567718"/>
    <w:rsid w:val="00570DF4"/>
    <w:rsid w:val="00572B31"/>
    <w:rsid w:val="00574764"/>
    <w:rsid w:val="00575870"/>
    <w:rsid w:val="00583347"/>
    <w:rsid w:val="00590149"/>
    <w:rsid w:val="005967D3"/>
    <w:rsid w:val="005A21A5"/>
    <w:rsid w:val="005A258F"/>
    <w:rsid w:val="005A4C1B"/>
    <w:rsid w:val="005B0123"/>
    <w:rsid w:val="005B14C5"/>
    <w:rsid w:val="005B1E1C"/>
    <w:rsid w:val="005B3E42"/>
    <w:rsid w:val="005C536B"/>
    <w:rsid w:val="005C75B5"/>
    <w:rsid w:val="005C776B"/>
    <w:rsid w:val="005D62F2"/>
    <w:rsid w:val="005D6A88"/>
    <w:rsid w:val="005E0575"/>
    <w:rsid w:val="005F30DC"/>
    <w:rsid w:val="00602A03"/>
    <w:rsid w:val="00624043"/>
    <w:rsid w:val="0063272A"/>
    <w:rsid w:val="00634168"/>
    <w:rsid w:val="006348B9"/>
    <w:rsid w:val="0064295C"/>
    <w:rsid w:val="006450FB"/>
    <w:rsid w:val="006459D3"/>
    <w:rsid w:val="00646EC5"/>
    <w:rsid w:val="00647859"/>
    <w:rsid w:val="00650EE6"/>
    <w:rsid w:val="00651A2F"/>
    <w:rsid w:val="0065722C"/>
    <w:rsid w:val="006604C9"/>
    <w:rsid w:val="00661260"/>
    <w:rsid w:val="00667106"/>
    <w:rsid w:val="006733CA"/>
    <w:rsid w:val="00676FFE"/>
    <w:rsid w:val="00683AA0"/>
    <w:rsid w:val="00684675"/>
    <w:rsid w:val="00684CCF"/>
    <w:rsid w:val="00684F86"/>
    <w:rsid w:val="00690076"/>
    <w:rsid w:val="00692576"/>
    <w:rsid w:val="00693EB7"/>
    <w:rsid w:val="006A266A"/>
    <w:rsid w:val="006A63A6"/>
    <w:rsid w:val="006A6953"/>
    <w:rsid w:val="006B04CD"/>
    <w:rsid w:val="006C1736"/>
    <w:rsid w:val="006C299A"/>
    <w:rsid w:val="006C2B0B"/>
    <w:rsid w:val="006D04E0"/>
    <w:rsid w:val="006D68D3"/>
    <w:rsid w:val="006F7AF5"/>
    <w:rsid w:val="00713B42"/>
    <w:rsid w:val="0071415F"/>
    <w:rsid w:val="00715484"/>
    <w:rsid w:val="00717C62"/>
    <w:rsid w:val="00730609"/>
    <w:rsid w:val="00734B18"/>
    <w:rsid w:val="00734B7B"/>
    <w:rsid w:val="00741F1A"/>
    <w:rsid w:val="00752BD2"/>
    <w:rsid w:val="007543FF"/>
    <w:rsid w:val="0075516B"/>
    <w:rsid w:val="00766CE4"/>
    <w:rsid w:val="00773E1A"/>
    <w:rsid w:val="007743E5"/>
    <w:rsid w:val="00775B3C"/>
    <w:rsid w:val="007849F5"/>
    <w:rsid w:val="00792776"/>
    <w:rsid w:val="007951FA"/>
    <w:rsid w:val="007A1F99"/>
    <w:rsid w:val="007A3FD8"/>
    <w:rsid w:val="007A773D"/>
    <w:rsid w:val="007B001D"/>
    <w:rsid w:val="007B0E2C"/>
    <w:rsid w:val="007C140B"/>
    <w:rsid w:val="007C1477"/>
    <w:rsid w:val="007C2F7B"/>
    <w:rsid w:val="007C3960"/>
    <w:rsid w:val="007D01FD"/>
    <w:rsid w:val="007D04E0"/>
    <w:rsid w:val="007D1E58"/>
    <w:rsid w:val="007E213F"/>
    <w:rsid w:val="007F37EC"/>
    <w:rsid w:val="0080142D"/>
    <w:rsid w:val="008070BE"/>
    <w:rsid w:val="008133CC"/>
    <w:rsid w:val="00816DB3"/>
    <w:rsid w:val="008271CA"/>
    <w:rsid w:val="00833C5B"/>
    <w:rsid w:val="00837C44"/>
    <w:rsid w:val="00840AA8"/>
    <w:rsid w:val="00847458"/>
    <w:rsid w:val="008534C9"/>
    <w:rsid w:val="0085765C"/>
    <w:rsid w:val="0086057A"/>
    <w:rsid w:val="00862015"/>
    <w:rsid w:val="00862837"/>
    <w:rsid w:val="008630BD"/>
    <w:rsid w:val="00865E84"/>
    <w:rsid w:val="008809D9"/>
    <w:rsid w:val="00881F83"/>
    <w:rsid w:val="008969F4"/>
    <w:rsid w:val="0089724B"/>
    <w:rsid w:val="008A32EC"/>
    <w:rsid w:val="008A3E87"/>
    <w:rsid w:val="008A58B8"/>
    <w:rsid w:val="008B0E71"/>
    <w:rsid w:val="008C1ED1"/>
    <w:rsid w:val="008C65A3"/>
    <w:rsid w:val="008D229B"/>
    <w:rsid w:val="008D774A"/>
    <w:rsid w:val="008E2063"/>
    <w:rsid w:val="008E33DC"/>
    <w:rsid w:val="008E42B7"/>
    <w:rsid w:val="008F537A"/>
    <w:rsid w:val="00905693"/>
    <w:rsid w:val="00917145"/>
    <w:rsid w:val="009210FE"/>
    <w:rsid w:val="00925EE3"/>
    <w:rsid w:val="0092658A"/>
    <w:rsid w:val="00926733"/>
    <w:rsid w:val="0093227A"/>
    <w:rsid w:val="00935B03"/>
    <w:rsid w:val="009367F8"/>
    <w:rsid w:val="00942430"/>
    <w:rsid w:val="009601AE"/>
    <w:rsid w:val="00961B1A"/>
    <w:rsid w:val="00962DA7"/>
    <w:rsid w:val="0096376B"/>
    <w:rsid w:val="00964E2F"/>
    <w:rsid w:val="009668D4"/>
    <w:rsid w:val="00973F39"/>
    <w:rsid w:val="00975650"/>
    <w:rsid w:val="009909C3"/>
    <w:rsid w:val="009A1CD5"/>
    <w:rsid w:val="009A568D"/>
    <w:rsid w:val="009B0B05"/>
    <w:rsid w:val="009B236E"/>
    <w:rsid w:val="009C658F"/>
    <w:rsid w:val="009C6C41"/>
    <w:rsid w:val="009D25B5"/>
    <w:rsid w:val="009D5CDB"/>
    <w:rsid w:val="009F38D9"/>
    <w:rsid w:val="009F5536"/>
    <w:rsid w:val="00A123E1"/>
    <w:rsid w:val="00A26500"/>
    <w:rsid w:val="00A269A8"/>
    <w:rsid w:val="00A3220E"/>
    <w:rsid w:val="00A35CE6"/>
    <w:rsid w:val="00A36202"/>
    <w:rsid w:val="00A367B7"/>
    <w:rsid w:val="00A373A8"/>
    <w:rsid w:val="00A40909"/>
    <w:rsid w:val="00A41CCB"/>
    <w:rsid w:val="00A63330"/>
    <w:rsid w:val="00A70691"/>
    <w:rsid w:val="00A8155E"/>
    <w:rsid w:val="00A84DE7"/>
    <w:rsid w:val="00A90E24"/>
    <w:rsid w:val="00A90FDC"/>
    <w:rsid w:val="00A92956"/>
    <w:rsid w:val="00A939B7"/>
    <w:rsid w:val="00A97394"/>
    <w:rsid w:val="00AA5BBA"/>
    <w:rsid w:val="00AA6DC8"/>
    <w:rsid w:val="00AA6F95"/>
    <w:rsid w:val="00AA7B73"/>
    <w:rsid w:val="00AA7EC4"/>
    <w:rsid w:val="00AC7CBC"/>
    <w:rsid w:val="00AD2267"/>
    <w:rsid w:val="00AD6977"/>
    <w:rsid w:val="00AE2D74"/>
    <w:rsid w:val="00AE3741"/>
    <w:rsid w:val="00AE44C7"/>
    <w:rsid w:val="00AF02A5"/>
    <w:rsid w:val="00AF0EFD"/>
    <w:rsid w:val="00AF3692"/>
    <w:rsid w:val="00AF59D7"/>
    <w:rsid w:val="00AF5B14"/>
    <w:rsid w:val="00B06EB7"/>
    <w:rsid w:val="00B14716"/>
    <w:rsid w:val="00B16115"/>
    <w:rsid w:val="00B23969"/>
    <w:rsid w:val="00B23AC7"/>
    <w:rsid w:val="00B24E74"/>
    <w:rsid w:val="00B377CD"/>
    <w:rsid w:val="00B4497E"/>
    <w:rsid w:val="00B510B1"/>
    <w:rsid w:val="00B536C2"/>
    <w:rsid w:val="00B610FE"/>
    <w:rsid w:val="00B62783"/>
    <w:rsid w:val="00B63878"/>
    <w:rsid w:val="00B63EF0"/>
    <w:rsid w:val="00B74B13"/>
    <w:rsid w:val="00B76A4E"/>
    <w:rsid w:val="00B8460D"/>
    <w:rsid w:val="00B84E65"/>
    <w:rsid w:val="00B85C4C"/>
    <w:rsid w:val="00B9273A"/>
    <w:rsid w:val="00B9294D"/>
    <w:rsid w:val="00B93356"/>
    <w:rsid w:val="00BA212E"/>
    <w:rsid w:val="00BA4D19"/>
    <w:rsid w:val="00BB2745"/>
    <w:rsid w:val="00BB458D"/>
    <w:rsid w:val="00BB502F"/>
    <w:rsid w:val="00BC2A57"/>
    <w:rsid w:val="00BC43B0"/>
    <w:rsid w:val="00BC7AB1"/>
    <w:rsid w:val="00BD1AB9"/>
    <w:rsid w:val="00BD2964"/>
    <w:rsid w:val="00BE01E9"/>
    <w:rsid w:val="00BE5021"/>
    <w:rsid w:val="00BF1280"/>
    <w:rsid w:val="00BF7AB9"/>
    <w:rsid w:val="00BF7EFC"/>
    <w:rsid w:val="00C015C9"/>
    <w:rsid w:val="00C04E40"/>
    <w:rsid w:val="00C06E1B"/>
    <w:rsid w:val="00C114C4"/>
    <w:rsid w:val="00C16D93"/>
    <w:rsid w:val="00C2057E"/>
    <w:rsid w:val="00C314C7"/>
    <w:rsid w:val="00C32197"/>
    <w:rsid w:val="00C341AB"/>
    <w:rsid w:val="00C34865"/>
    <w:rsid w:val="00C37E50"/>
    <w:rsid w:val="00C422D0"/>
    <w:rsid w:val="00C43173"/>
    <w:rsid w:val="00C471F0"/>
    <w:rsid w:val="00C56112"/>
    <w:rsid w:val="00C57F1A"/>
    <w:rsid w:val="00C650CF"/>
    <w:rsid w:val="00C701F2"/>
    <w:rsid w:val="00C833FC"/>
    <w:rsid w:val="00C8384E"/>
    <w:rsid w:val="00C85FCA"/>
    <w:rsid w:val="00C86532"/>
    <w:rsid w:val="00C942EE"/>
    <w:rsid w:val="00C96292"/>
    <w:rsid w:val="00C9673C"/>
    <w:rsid w:val="00CB1280"/>
    <w:rsid w:val="00CC764B"/>
    <w:rsid w:val="00CD1831"/>
    <w:rsid w:val="00CD3E2F"/>
    <w:rsid w:val="00CE0707"/>
    <w:rsid w:val="00CE44FC"/>
    <w:rsid w:val="00CE78D4"/>
    <w:rsid w:val="00CF640A"/>
    <w:rsid w:val="00CF71A5"/>
    <w:rsid w:val="00D105E6"/>
    <w:rsid w:val="00D15EC9"/>
    <w:rsid w:val="00D17C93"/>
    <w:rsid w:val="00D22E35"/>
    <w:rsid w:val="00D30CD3"/>
    <w:rsid w:val="00D35F6B"/>
    <w:rsid w:val="00D40F77"/>
    <w:rsid w:val="00D46C44"/>
    <w:rsid w:val="00D51AAD"/>
    <w:rsid w:val="00D51F58"/>
    <w:rsid w:val="00D5775E"/>
    <w:rsid w:val="00D6257D"/>
    <w:rsid w:val="00D65F06"/>
    <w:rsid w:val="00D665A4"/>
    <w:rsid w:val="00D73DE1"/>
    <w:rsid w:val="00D75D0F"/>
    <w:rsid w:val="00D8115B"/>
    <w:rsid w:val="00D8154C"/>
    <w:rsid w:val="00D85167"/>
    <w:rsid w:val="00D963B9"/>
    <w:rsid w:val="00DA0620"/>
    <w:rsid w:val="00DA5EE4"/>
    <w:rsid w:val="00DA62B6"/>
    <w:rsid w:val="00DB120B"/>
    <w:rsid w:val="00DB291D"/>
    <w:rsid w:val="00DB4282"/>
    <w:rsid w:val="00DC2E00"/>
    <w:rsid w:val="00DC7D28"/>
    <w:rsid w:val="00DD06AE"/>
    <w:rsid w:val="00DD27D5"/>
    <w:rsid w:val="00DD576B"/>
    <w:rsid w:val="00DD730D"/>
    <w:rsid w:val="00DE3276"/>
    <w:rsid w:val="00DF4DFB"/>
    <w:rsid w:val="00E0039D"/>
    <w:rsid w:val="00E02C8A"/>
    <w:rsid w:val="00E11405"/>
    <w:rsid w:val="00E14BD1"/>
    <w:rsid w:val="00E173E0"/>
    <w:rsid w:val="00E37DB5"/>
    <w:rsid w:val="00E62B6A"/>
    <w:rsid w:val="00E659DA"/>
    <w:rsid w:val="00E6708D"/>
    <w:rsid w:val="00E700DA"/>
    <w:rsid w:val="00E77B2C"/>
    <w:rsid w:val="00E8566B"/>
    <w:rsid w:val="00E96E47"/>
    <w:rsid w:val="00EA4B5E"/>
    <w:rsid w:val="00EA7054"/>
    <w:rsid w:val="00EB326A"/>
    <w:rsid w:val="00EB5800"/>
    <w:rsid w:val="00EC3AE0"/>
    <w:rsid w:val="00EC6855"/>
    <w:rsid w:val="00EC69E0"/>
    <w:rsid w:val="00ED214B"/>
    <w:rsid w:val="00EE216D"/>
    <w:rsid w:val="00EE4E64"/>
    <w:rsid w:val="00EE544F"/>
    <w:rsid w:val="00EF2EBB"/>
    <w:rsid w:val="00EF5228"/>
    <w:rsid w:val="00EF6CDB"/>
    <w:rsid w:val="00EF70F1"/>
    <w:rsid w:val="00EF7E00"/>
    <w:rsid w:val="00F01433"/>
    <w:rsid w:val="00F02BE0"/>
    <w:rsid w:val="00F04290"/>
    <w:rsid w:val="00F12818"/>
    <w:rsid w:val="00F17902"/>
    <w:rsid w:val="00F25DBD"/>
    <w:rsid w:val="00F52831"/>
    <w:rsid w:val="00F5456D"/>
    <w:rsid w:val="00F577C7"/>
    <w:rsid w:val="00F57A04"/>
    <w:rsid w:val="00F61801"/>
    <w:rsid w:val="00F61E8B"/>
    <w:rsid w:val="00F630FF"/>
    <w:rsid w:val="00F647EB"/>
    <w:rsid w:val="00F87690"/>
    <w:rsid w:val="00F94C1A"/>
    <w:rsid w:val="00FB3782"/>
    <w:rsid w:val="00FB6220"/>
    <w:rsid w:val="00FC35B6"/>
    <w:rsid w:val="00FD216D"/>
    <w:rsid w:val="00FE0607"/>
    <w:rsid w:val="00FE4130"/>
    <w:rsid w:val="00FE633C"/>
    <w:rsid w:val="00FF2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D9E53"/>
  <w15:chartTrackingRefBased/>
  <w15:docId w15:val="{5BAC02AC-E67F-4DCC-AA6D-E94BC281D4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07F9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C341A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TableNormal1">
    <w:name w:val="Table Normal1"/>
    <w:uiPriority w:val="2"/>
    <w:semiHidden/>
    <w:unhideWhenUsed/>
    <w:qFormat/>
    <w:rsid w:val="000B553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B55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paragraph" w:styleId="Tijeloteksta">
    <w:name w:val="Body Text"/>
    <w:basedOn w:val="Normal"/>
    <w:link w:val="TijelotekstaChar"/>
    <w:uiPriority w:val="1"/>
    <w:qFormat/>
    <w:rsid w:val="00C57F1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bs"/>
    </w:rPr>
  </w:style>
  <w:style w:type="character" w:customStyle="1" w:styleId="TijelotekstaChar">
    <w:name w:val="Tijelo teksta Char"/>
    <w:basedOn w:val="Zadanifontodlomka"/>
    <w:link w:val="Tijeloteksta"/>
    <w:uiPriority w:val="1"/>
    <w:rsid w:val="00C57F1A"/>
    <w:rPr>
      <w:rFonts w:ascii="Calibri" w:eastAsia="Calibri" w:hAnsi="Calibri" w:cs="Calibri"/>
      <w:lang w:val="bs"/>
    </w:rPr>
  </w:style>
  <w:style w:type="paragraph" w:styleId="Odlomakpopisa">
    <w:name w:val="List Paragraph"/>
    <w:basedOn w:val="Normal"/>
    <w:uiPriority w:val="34"/>
    <w:qFormat/>
    <w:rsid w:val="00C57F1A"/>
    <w:pPr>
      <w:widowControl w:val="0"/>
      <w:autoSpaceDE w:val="0"/>
      <w:autoSpaceDN w:val="0"/>
      <w:spacing w:after="0" w:line="240" w:lineRule="auto"/>
      <w:ind w:left="838" w:hanging="361"/>
    </w:pPr>
    <w:rPr>
      <w:rFonts w:ascii="Calibri" w:eastAsia="Calibri" w:hAnsi="Calibri" w:cs="Calibri"/>
      <w:lang w:val="bs"/>
    </w:rPr>
  </w:style>
  <w:style w:type="paragraph" w:styleId="Bezproreda">
    <w:name w:val="No Spacing"/>
    <w:uiPriority w:val="1"/>
    <w:qFormat/>
    <w:rsid w:val="00C57F1A"/>
    <w:pPr>
      <w:spacing w:after="0" w:line="240" w:lineRule="auto"/>
    </w:pPr>
  </w:style>
  <w:style w:type="paragraph" w:styleId="Zaglavlje">
    <w:name w:val="header"/>
    <w:basedOn w:val="Normal"/>
    <w:link w:val="ZaglavljeChar"/>
    <w:uiPriority w:val="99"/>
    <w:unhideWhenUsed/>
    <w:rsid w:val="009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9A568D"/>
  </w:style>
  <w:style w:type="paragraph" w:styleId="Podnoje">
    <w:name w:val="footer"/>
    <w:basedOn w:val="Normal"/>
    <w:link w:val="PodnojeChar"/>
    <w:uiPriority w:val="99"/>
    <w:unhideWhenUsed/>
    <w:rsid w:val="009A56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9A568D"/>
  </w:style>
  <w:style w:type="table" w:styleId="Reetkatablice">
    <w:name w:val="Table Grid"/>
    <w:basedOn w:val="Obinatablica"/>
    <w:uiPriority w:val="59"/>
    <w:rsid w:val="00AA7E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96376B"/>
    <w:pPr>
      <w:spacing w:before="100" w:beforeAutospacing="1" w:after="100" w:afterAutospacing="1" w:line="240" w:lineRule="auto"/>
    </w:pPr>
    <w:rPr>
      <w:rFonts w:ascii="Aptos" w:hAnsi="Aptos" w:cs="Aptos"/>
      <w:sz w:val="24"/>
      <w:szCs w:val="24"/>
      <w:lang w:val="en-US"/>
    </w:rPr>
  </w:style>
  <w:style w:type="character" w:styleId="Referencakomentara">
    <w:name w:val="annotation reference"/>
    <w:basedOn w:val="Zadanifontodlomka"/>
    <w:uiPriority w:val="99"/>
    <w:semiHidden/>
    <w:unhideWhenUsed/>
    <w:rsid w:val="00BC7AB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BC7AB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BC7AB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C7AB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C7AB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76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2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7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emf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customXml" Target="../customXml/item2.xml"/><Relationship Id="rId16" Type="http://schemas.openxmlformats.org/officeDocument/2006/relationships/image" Target="media/image6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emf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59DD148910EB04D8FB38DBFB3DE027B" ma:contentTypeVersion="6" ma:contentTypeDescription="Stvaranje novog dokumenta." ma:contentTypeScope="" ma:versionID="db158d80eeb19f0106d49a84e268acbd">
  <xsd:schema xmlns:xsd="http://www.w3.org/2001/XMLSchema" xmlns:xs="http://www.w3.org/2001/XMLSchema" xmlns:p="http://schemas.microsoft.com/office/2006/metadata/properties" xmlns:ns3="f8d6a312-8103-4968-904e-673f1f5c37dd" targetNamespace="http://schemas.microsoft.com/office/2006/metadata/properties" ma:root="true" ma:fieldsID="6c824a24500748767ee8ee576fc7cd49" ns3:_="">
    <xsd:import namespace="f8d6a312-8103-4968-904e-673f1f5c37d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d6a312-8103-4968-904e-673f1f5c37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8d6a312-8103-4968-904e-673f1f5c37dd" xsi:nil="true"/>
  </documentManagement>
</p:properties>
</file>

<file path=customXml/itemProps1.xml><?xml version="1.0" encoding="utf-8"?>
<ds:datastoreItem xmlns:ds="http://schemas.openxmlformats.org/officeDocument/2006/customXml" ds:itemID="{2B5F0B1F-EC7C-459B-91D5-4A9B4C4EFC6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70EE026-FB12-47A6-ABA1-DF66FAF2D5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7037CF-79EA-4AA2-B7CC-27827EA6A6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d6a312-8103-4968-904e-673f1f5c3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54516A8-9AA6-493F-B189-474ACA721E79}">
  <ds:schemaRefs>
    <ds:schemaRef ds:uri="http://schemas.microsoft.com/office/2006/metadata/properties"/>
    <ds:schemaRef ds:uri="http://schemas.microsoft.com/office/infopath/2007/PartnerControls"/>
    <ds:schemaRef ds:uri="f8d6a312-8103-4968-904e-673f1f5c37d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16</Pages>
  <Words>5038</Words>
  <Characters>28717</Characters>
  <Application>Microsoft Office Word</Application>
  <DocSecurity>0</DocSecurity>
  <Lines>239</Lines>
  <Paragraphs>67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Tomislav Barada</dc:creator>
  <cp:keywords/>
  <dc:description/>
  <cp:lastModifiedBy>Tomislav Barada</cp:lastModifiedBy>
  <cp:revision>5</cp:revision>
  <cp:lastPrinted>2026-05-07T10:27:00Z</cp:lastPrinted>
  <dcterms:created xsi:type="dcterms:W3CDTF">2026-05-13T07:41:00Z</dcterms:created>
  <dcterms:modified xsi:type="dcterms:W3CDTF">2026-06-16T06:02:00Z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0x010100F59DD148910EB04D8FB38DBFB3DE027B</vt:lpwstr>
  </property>
</Properties>
</file>